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0D76A5A" w14:textId="66C27385" w:rsidR="00A57D3B" w:rsidRPr="00493F89" w:rsidRDefault="00A57D3B" w:rsidP="00A57D3B">
      <w:pPr>
        <w:pStyle w:val="Header"/>
        <w:tabs>
          <w:tab w:val="left" w:pos="6521"/>
        </w:tabs>
        <w:rPr>
          <w:rFonts w:cs="Arial"/>
          <w:bCs/>
          <w:noProof w:val="0"/>
          <w:sz w:val="24"/>
          <w:szCs w:val="24"/>
          <w:lang w:val="de-DE"/>
        </w:rPr>
      </w:pPr>
      <w:bookmarkStart w:id="0" w:name="OLE_LINK1"/>
      <w:r w:rsidRPr="00601FD5">
        <w:rPr>
          <w:rFonts w:cs="Arial"/>
          <w:bCs/>
          <w:noProof w:val="0"/>
          <w:sz w:val="24"/>
          <w:szCs w:val="24"/>
          <w:lang w:val="de-DE"/>
        </w:rPr>
        <w:t>3GPP TSG RAN WG1 #</w:t>
      </w:r>
      <w:r>
        <w:rPr>
          <w:rFonts w:cs="Arial"/>
          <w:bCs/>
          <w:noProof w:val="0"/>
          <w:sz w:val="24"/>
          <w:szCs w:val="24"/>
          <w:lang w:val="de-DE"/>
        </w:rPr>
        <w:t>10</w:t>
      </w:r>
      <w:r w:rsidR="00ED6CD1">
        <w:rPr>
          <w:rFonts w:cs="Arial"/>
          <w:bCs/>
          <w:noProof w:val="0"/>
          <w:sz w:val="24"/>
          <w:szCs w:val="24"/>
          <w:lang w:val="de-DE"/>
        </w:rPr>
        <w:t>3</w:t>
      </w:r>
      <w:r>
        <w:rPr>
          <w:rFonts w:cs="Arial"/>
          <w:bCs/>
          <w:noProof w:val="0"/>
          <w:sz w:val="24"/>
          <w:szCs w:val="24"/>
          <w:lang w:val="de-DE"/>
        </w:rPr>
        <w:t xml:space="preserve">-e </w:t>
      </w:r>
      <w:r w:rsidRPr="00601FD5">
        <w:rPr>
          <w:rFonts w:cs="Arial"/>
          <w:bCs/>
          <w:noProof w:val="0"/>
          <w:sz w:val="24"/>
          <w:szCs w:val="24"/>
          <w:lang w:val="de-DE"/>
        </w:rPr>
        <w:tab/>
        <w:t xml:space="preserve">    </w:t>
      </w:r>
      <w:r w:rsidRPr="00601FD5">
        <w:rPr>
          <w:rFonts w:cs="Arial" w:hint="eastAsia"/>
          <w:bCs/>
          <w:noProof w:val="0"/>
          <w:sz w:val="24"/>
          <w:szCs w:val="24"/>
          <w:lang w:val="de-DE"/>
        </w:rPr>
        <w:tab/>
      </w:r>
      <w:r w:rsidRPr="00601FD5">
        <w:rPr>
          <w:rFonts w:cs="Arial"/>
          <w:bCs/>
          <w:noProof w:val="0"/>
          <w:sz w:val="24"/>
          <w:szCs w:val="24"/>
          <w:lang w:val="de-DE"/>
        </w:rPr>
        <w:tab/>
      </w:r>
      <w:r w:rsidRPr="00601FD5">
        <w:rPr>
          <w:rFonts w:cs="Arial"/>
          <w:bCs/>
          <w:noProof w:val="0"/>
          <w:sz w:val="24"/>
          <w:szCs w:val="24"/>
          <w:lang w:val="de-DE"/>
        </w:rPr>
        <w:tab/>
        <w:t xml:space="preserve">   </w:t>
      </w:r>
      <w:r w:rsidRPr="00601FD5">
        <w:rPr>
          <w:rFonts w:cs="Arial" w:hint="eastAsia"/>
          <w:bCs/>
          <w:noProof w:val="0"/>
          <w:sz w:val="24"/>
          <w:szCs w:val="24"/>
          <w:lang w:val="de-DE"/>
        </w:rPr>
        <w:t xml:space="preserve">         </w:t>
      </w:r>
      <w:r w:rsidRPr="00601FD5">
        <w:rPr>
          <w:rFonts w:cs="Arial"/>
          <w:bCs/>
          <w:noProof w:val="0"/>
          <w:sz w:val="24"/>
          <w:szCs w:val="24"/>
          <w:lang w:val="de-DE"/>
        </w:rPr>
        <w:t xml:space="preserve"> </w:t>
      </w:r>
      <w:r w:rsidRPr="00E129BF">
        <w:rPr>
          <w:rFonts w:cs="Arial"/>
          <w:bCs/>
          <w:noProof w:val="0"/>
          <w:sz w:val="24"/>
          <w:szCs w:val="24"/>
          <w:lang w:val="de-DE"/>
        </w:rPr>
        <w:t>R1-</w:t>
      </w:r>
      <w:r w:rsidR="00E30026" w:rsidRPr="00E30026">
        <w:rPr>
          <w:rFonts w:cs="Arial"/>
          <w:bCs/>
          <w:noProof w:val="0"/>
          <w:sz w:val="24"/>
          <w:szCs w:val="24"/>
          <w:lang w:val="de-DE"/>
        </w:rPr>
        <w:t>2008193</w:t>
      </w:r>
    </w:p>
    <w:p w14:paraId="7317EA24" w14:textId="77777777" w:rsidR="00CE729D" w:rsidRPr="00FA3337" w:rsidRDefault="00A57D3B" w:rsidP="00A57D3B">
      <w:pPr>
        <w:pStyle w:val="Header"/>
        <w:tabs>
          <w:tab w:val="left" w:pos="6521"/>
        </w:tabs>
        <w:rPr>
          <w:rFonts w:cs="Arial"/>
          <w:bCs/>
          <w:noProof w:val="0"/>
          <w:sz w:val="24"/>
          <w:szCs w:val="24"/>
          <w:lang w:val="de-DE"/>
        </w:rPr>
      </w:pPr>
      <w:r>
        <w:rPr>
          <w:rFonts w:cs="Arial"/>
          <w:bCs/>
          <w:noProof w:val="0"/>
          <w:sz w:val="24"/>
          <w:szCs w:val="24"/>
          <w:lang w:val="de-DE"/>
        </w:rPr>
        <w:t>e-Meeting</w:t>
      </w:r>
      <w:r w:rsidRPr="00601FD5">
        <w:rPr>
          <w:rFonts w:cs="Arial"/>
          <w:bCs/>
          <w:noProof w:val="0"/>
          <w:sz w:val="24"/>
          <w:szCs w:val="24"/>
          <w:lang w:val="de-DE"/>
        </w:rPr>
        <w:t xml:space="preserve">, </w:t>
      </w:r>
      <w:r w:rsidR="00ED6CD1" w:rsidRPr="00ED6CD1">
        <w:rPr>
          <w:rFonts w:cs="Arial"/>
          <w:bCs/>
          <w:noProof w:val="0"/>
          <w:sz w:val="24"/>
          <w:szCs w:val="24"/>
          <w:lang w:val="de-DE"/>
        </w:rPr>
        <w:t>October 26</w:t>
      </w:r>
      <w:r w:rsidR="00ED6CD1" w:rsidRPr="00ED6CD1">
        <w:rPr>
          <w:rFonts w:cs="Arial"/>
          <w:bCs/>
          <w:noProof w:val="0"/>
          <w:sz w:val="24"/>
          <w:szCs w:val="24"/>
          <w:vertAlign w:val="superscript"/>
          <w:lang w:val="de-DE"/>
        </w:rPr>
        <w:t>th</w:t>
      </w:r>
      <w:r w:rsidR="00ED6CD1" w:rsidRPr="00ED6CD1">
        <w:rPr>
          <w:rFonts w:cs="Arial"/>
          <w:bCs/>
          <w:noProof w:val="0"/>
          <w:sz w:val="24"/>
          <w:szCs w:val="24"/>
          <w:lang w:val="de-DE"/>
        </w:rPr>
        <w:t xml:space="preserve"> – November 13</w:t>
      </w:r>
      <w:r w:rsidR="00ED6CD1" w:rsidRPr="00ED6CD1">
        <w:rPr>
          <w:rFonts w:cs="Arial"/>
          <w:bCs/>
          <w:noProof w:val="0"/>
          <w:sz w:val="24"/>
          <w:szCs w:val="24"/>
          <w:vertAlign w:val="superscript"/>
          <w:lang w:val="de-DE"/>
        </w:rPr>
        <w:t>th</w:t>
      </w:r>
      <w:r w:rsidR="00ED6CD1" w:rsidRPr="00E40821">
        <w:rPr>
          <w:rFonts w:cs="Arial"/>
          <w:bCs/>
          <w:noProof w:val="0"/>
          <w:sz w:val="24"/>
          <w:szCs w:val="24"/>
          <w:lang w:val="de-DE"/>
        </w:rPr>
        <w:t xml:space="preserve"> </w:t>
      </w:r>
      <w:r w:rsidR="00E40821" w:rsidRPr="00E40821">
        <w:rPr>
          <w:rFonts w:cs="Arial"/>
          <w:bCs/>
          <w:noProof w:val="0"/>
          <w:sz w:val="24"/>
          <w:szCs w:val="24"/>
          <w:lang w:val="de-DE"/>
        </w:rPr>
        <w:t>,</w:t>
      </w:r>
      <w:r w:rsidR="00CC635D" w:rsidRPr="00601FD5">
        <w:rPr>
          <w:rFonts w:cs="Arial"/>
          <w:bCs/>
          <w:noProof w:val="0"/>
          <w:sz w:val="24"/>
          <w:szCs w:val="24"/>
          <w:lang w:val="de-DE"/>
        </w:rPr>
        <w:t xml:space="preserve"> </w:t>
      </w:r>
      <w:r w:rsidR="00016EBA">
        <w:rPr>
          <w:rFonts w:cs="Arial"/>
          <w:bCs/>
          <w:noProof w:val="0"/>
          <w:sz w:val="24"/>
          <w:szCs w:val="24"/>
          <w:lang w:val="de-DE"/>
        </w:rPr>
        <w:t>2020</w:t>
      </w:r>
      <w:r w:rsidR="00CE729D" w:rsidRPr="00FA3337">
        <w:rPr>
          <w:rFonts w:cs="Arial"/>
          <w:bCs/>
          <w:noProof w:val="0"/>
          <w:sz w:val="24"/>
          <w:szCs w:val="24"/>
          <w:lang w:val="de-DE"/>
        </w:rPr>
        <w:t xml:space="preserve"> </w:t>
      </w:r>
    </w:p>
    <w:p w14:paraId="777E530C" w14:textId="77777777" w:rsidR="00593A28" w:rsidRPr="00CE729D" w:rsidRDefault="00593A28" w:rsidP="00590593">
      <w:pPr>
        <w:tabs>
          <w:tab w:val="left" w:pos="1985"/>
        </w:tabs>
        <w:spacing w:after="120"/>
        <w:rPr>
          <w:rFonts w:ascii="Arial" w:eastAsia="宋体" w:hAnsi="Arial"/>
          <w:b/>
          <w:sz w:val="24"/>
          <w:szCs w:val="24"/>
          <w:lang w:val="de-DE" w:eastAsia="zh-CN"/>
        </w:rPr>
      </w:pPr>
    </w:p>
    <w:p w14:paraId="4444E9D2" w14:textId="77777777" w:rsidR="00D108F6" w:rsidRPr="00DB4521" w:rsidRDefault="00590593" w:rsidP="00590593">
      <w:pPr>
        <w:tabs>
          <w:tab w:val="left" w:pos="1985"/>
        </w:tabs>
        <w:spacing w:after="12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9B5387">
        <w:rPr>
          <w:rFonts w:ascii="Arial" w:eastAsia="Malgun Gothic" w:hAnsi="Arial"/>
          <w:sz w:val="24"/>
          <w:szCs w:val="24"/>
          <w:lang w:eastAsia="ko-KR"/>
        </w:rPr>
        <w:t>8.12.</w:t>
      </w:r>
      <w:r w:rsidR="00F87684">
        <w:rPr>
          <w:rFonts w:ascii="Arial" w:eastAsia="Malgun Gothic" w:hAnsi="Arial"/>
          <w:sz w:val="24"/>
          <w:szCs w:val="24"/>
          <w:lang w:eastAsia="ko-KR"/>
        </w:rPr>
        <w:t>2</w:t>
      </w:r>
    </w:p>
    <w:p w14:paraId="22CAFDE0"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14:paraId="607A3305" w14:textId="77777777" w:rsidR="00B722E2" w:rsidRPr="00E14379" w:rsidRDefault="00B722E2" w:rsidP="009B5387">
      <w:pPr>
        <w:spacing w:after="120"/>
        <w:ind w:left="1985" w:hangingChars="827" w:hanging="1985"/>
        <w:rPr>
          <w:rFonts w:ascii="Arial" w:eastAsia="宋体" w:hAnsi="Arial"/>
          <w:sz w:val="24"/>
          <w:szCs w:val="24"/>
          <w:lang w:eastAsia="zh-CN"/>
        </w:rPr>
      </w:pPr>
      <w:r w:rsidRPr="001F3166">
        <w:rPr>
          <w:rFonts w:ascii="Arial" w:hAnsi="Arial"/>
          <w:b/>
          <w:sz w:val="24"/>
          <w:szCs w:val="24"/>
        </w:rPr>
        <w:t>Title:</w:t>
      </w:r>
      <w:r w:rsidR="009B5387">
        <w:rPr>
          <w:rFonts w:ascii="Arial" w:hAnsi="Arial"/>
          <w:sz w:val="24"/>
          <w:szCs w:val="24"/>
        </w:rPr>
        <w:t xml:space="preserve"> </w:t>
      </w:r>
      <w:r w:rsidR="009B5387">
        <w:rPr>
          <w:rFonts w:ascii="Arial" w:hAnsi="Arial"/>
          <w:sz w:val="24"/>
          <w:szCs w:val="24"/>
        </w:rPr>
        <w:tab/>
      </w:r>
      <w:r w:rsidR="00763DD5" w:rsidRPr="00763DD5">
        <w:rPr>
          <w:rFonts w:ascii="Arial" w:hAnsi="Arial"/>
          <w:sz w:val="24"/>
          <w:szCs w:val="24"/>
        </w:rPr>
        <w:t>On Mechanisms to improve reliability for RRC_CONNECTED UEs</w:t>
      </w:r>
    </w:p>
    <w:p w14:paraId="4B042CF1"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7A3D097E" w14:textId="77777777" w:rsidR="00034300" w:rsidRPr="00BF18A8" w:rsidRDefault="00034300" w:rsidP="005D33FA">
      <w:pPr>
        <w:pStyle w:val="Heading1"/>
        <w:spacing w:before="360" w:after="60"/>
        <w:rPr>
          <w:lang w:val="en-US" w:eastAsia="ko-KR"/>
        </w:rPr>
      </w:pPr>
      <w:r w:rsidRPr="00BF18A8">
        <w:rPr>
          <w:lang w:val="en-US" w:eastAsia="ko-KR"/>
        </w:rPr>
        <w:t>Introduction</w:t>
      </w:r>
    </w:p>
    <w:p w14:paraId="12A20EDA" w14:textId="7F657E19" w:rsidR="00ED6CD1" w:rsidRDefault="00ED6CD1" w:rsidP="00ED6CD1">
      <w:pPr>
        <w:spacing w:after="0"/>
        <w:ind w:right="3"/>
        <w:jc w:val="both"/>
      </w:pPr>
      <w:r>
        <w:rPr>
          <w:bCs/>
        </w:rPr>
        <w:t>The following</w:t>
      </w:r>
      <w:r w:rsidRPr="00675B25">
        <w:rPr>
          <w:rFonts w:eastAsia="宋体"/>
          <w:bCs/>
          <w:lang w:eastAsia="zh-CN"/>
        </w:rPr>
        <w:t xml:space="preserve"> </w:t>
      </w:r>
      <w:r>
        <w:rPr>
          <w:rFonts w:eastAsia="宋体"/>
          <w:bCs/>
          <w:lang w:eastAsia="zh-CN"/>
        </w:rPr>
        <w:t>were agreed</w:t>
      </w:r>
      <w:r>
        <w:rPr>
          <w:bCs/>
        </w:rPr>
        <w:t xml:space="preserve"> in RAN1 #102e</w:t>
      </w:r>
      <w:r w:rsidR="006858B7">
        <w:rPr>
          <w:bCs/>
        </w:rPr>
        <w:t xml:space="preserve"> </w:t>
      </w:r>
      <w:r w:rsidR="000A2C22">
        <w:rPr>
          <w:bCs/>
        </w:rPr>
        <w:t>[1]</w:t>
      </w:r>
      <w:r>
        <w:rPr>
          <w:bCs/>
        </w:rPr>
        <w:t xml:space="preserve"> for HARQ-ACK transmission. This contribution considers FFS aspects for HARQ-ACK transmission of MBS PDSCH.</w:t>
      </w:r>
    </w:p>
    <w:p w14:paraId="6E208035" w14:textId="77777777" w:rsidR="00ED6CD1" w:rsidRDefault="00ED6CD1" w:rsidP="00ED6CD1">
      <w:pPr>
        <w:pStyle w:val="ListParagraph"/>
        <w:ind w:left="0"/>
        <w:rPr>
          <w:bCs/>
          <w:highlight w:val="green"/>
        </w:rPr>
      </w:pPr>
    </w:p>
    <w:p w14:paraId="6FE3683D" w14:textId="77777777" w:rsidR="00ED6CD1" w:rsidRPr="00970159" w:rsidRDefault="00ED6CD1" w:rsidP="00ED6CD1">
      <w:pPr>
        <w:pStyle w:val="ListParagraph"/>
        <w:ind w:left="0"/>
        <w:rPr>
          <w:bCs/>
          <w:highlight w:val="green"/>
        </w:rPr>
      </w:pPr>
      <w:r w:rsidRPr="00970159">
        <w:rPr>
          <w:bCs/>
          <w:highlight w:val="green"/>
        </w:rPr>
        <w:t>Agreements:</w:t>
      </w:r>
    </w:p>
    <w:p w14:paraId="0222D716" w14:textId="77777777" w:rsidR="00ED6CD1" w:rsidRPr="00F808A8" w:rsidRDefault="00ED6CD1" w:rsidP="00ED6CD1">
      <w:pPr>
        <w:pStyle w:val="ListParagraph"/>
        <w:ind w:left="0"/>
        <w:rPr>
          <w:highlight w:val="cyan"/>
        </w:rPr>
      </w:pPr>
      <w:r w:rsidRPr="00714833">
        <w:t>For RRC_CONNECTED UEs, HARQ-ACK feedback is supported for multicast and no additional evaluation is needed to justify this.</w:t>
      </w:r>
    </w:p>
    <w:p w14:paraId="0DA22244" w14:textId="77777777" w:rsidR="00ED6CD1" w:rsidRPr="00CC5313" w:rsidRDefault="00ED6CD1" w:rsidP="00ED6CD1">
      <w:pPr>
        <w:pStyle w:val="ListParagraph"/>
        <w:numPr>
          <w:ilvl w:val="1"/>
          <w:numId w:val="34"/>
        </w:numPr>
        <w:spacing w:after="0"/>
        <w:contextualSpacing w:val="0"/>
      </w:pPr>
      <w:r w:rsidRPr="00CC5313">
        <w:t>FFS: The detailed HARQ-ACK feedback solutions, e.g., ACK/NACK based, NACK-only based.</w:t>
      </w:r>
    </w:p>
    <w:p w14:paraId="200931D2" w14:textId="77777777" w:rsidR="00ED6CD1" w:rsidRPr="00F808A8" w:rsidRDefault="00ED6CD1" w:rsidP="00ED6CD1">
      <w:pPr>
        <w:pStyle w:val="ListParagraph"/>
        <w:numPr>
          <w:ilvl w:val="1"/>
          <w:numId w:val="34"/>
        </w:numPr>
        <w:spacing w:after="0"/>
        <w:contextualSpacing w:val="0"/>
      </w:pPr>
      <w:r w:rsidRPr="00CC5313">
        <w:t>FFS: HARQ-ACK feedback can be optionally disabled</w:t>
      </w:r>
      <w:r w:rsidRPr="0084182E">
        <w:t xml:space="preserve"> and/or enabled</w:t>
      </w:r>
      <w:r>
        <w:t>.</w:t>
      </w:r>
    </w:p>
    <w:p w14:paraId="1BC908BA" w14:textId="77777777" w:rsidR="00ED6CD1" w:rsidRPr="00ED6CD1" w:rsidRDefault="00ED6CD1" w:rsidP="00BC222F">
      <w:pPr>
        <w:pStyle w:val="Style1"/>
        <w:pBdr>
          <w:bottom w:val="single" w:sz="6" w:space="1" w:color="auto"/>
        </w:pBdr>
        <w:spacing w:after="0" w:afterAutospacing="0" w:line="360" w:lineRule="auto"/>
        <w:rPr>
          <w:rFonts w:eastAsiaTheme="minorEastAsia"/>
          <w:lang w:eastAsia="ko-KR"/>
        </w:rPr>
      </w:pPr>
    </w:p>
    <w:p w14:paraId="0A608D55" w14:textId="77777777" w:rsidR="00236222" w:rsidRDefault="006B7D3B" w:rsidP="00BC222F">
      <w:pPr>
        <w:pStyle w:val="Heading1"/>
        <w:spacing w:before="0" w:after="0" w:line="360" w:lineRule="auto"/>
        <w:rPr>
          <w:lang w:val="en-US" w:eastAsia="ko-KR"/>
        </w:rPr>
      </w:pPr>
      <w:r w:rsidRPr="006B7D3B">
        <w:rPr>
          <w:lang w:val="en-US" w:eastAsia="ko-KR"/>
        </w:rPr>
        <w:t>Discussion</w:t>
      </w:r>
    </w:p>
    <w:p w14:paraId="351AAD7A" w14:textId="77777777" w:rsidR="00ED6CD1" w:rsidRPr="00F646C6" w:rsidRDefault="00ED6CD1" w:rsidP="00ED6CD1">
      <w:pPr>
        <w:pStyle w:val="Heading2"/>
        <w:spacing w:before="120" w:after="120"/>
        <w:rPr>
          <w:sz w:val="30"/>
          <w:szCs w:val="30"/>
          <w:lang w:eastAsia="ja-JP"/>
        </w:rPr>
      </w:pPr>
      <w:r w:rsidRPr="00F646C6">
        <w:rPr>
          <w:sz w:val="30"/>
          <w:szCs w:val="30"/>
          <w:lang w:eastAsia="ja-JP"/>
        </w:rPr>
        <w:t>HARQ-ACK feedback</w:t>
      </w:r>
    </w:p>
    <w:p w14:paraId="5B7DF29E" w14:textId="77777777" w:rsidR="00F646C6" w:rsidRDefault="00F646C6" w:rsidP="00497D17">
      <w:pPr>
        <w:pStyle w:val="ListParagraph"/>
        <w:numPr>
          <w:ilvl w:val="2"/>
          <w:numId w:val="11"/>
        </w:numPr>
        <w:rPr>
          <w:rFonts w:eastAsia="宋体"/>
          <w:sz w:val="28"/>
          <w:szCs w:val="28"/>
          <w:lang w:val="en-GB" w:eastAsia="zh-CN"/>
        </w:rPr>
      </w:pPr>
      <w:r>
        <w:rPr>
          <w:rFonts w:eastAsia="宋体"/>
          <w:sz w:val="28"/>
          <w:szCs w:val="28"/>
          <w:lang w:val="en-GB" w:eastAsia="zh-CN"/>
        </w:rPr>
        <w:t>HARQ-ACK feedback solutions</w:t>
      </w:r>
    </w:p>
    <w:p w14:paraId="0DAAC563" w14:textId="7B9B75B2" w:rsidR="003B0C03" w:rsidRDefault="003B0C03" w:rsidP="006858B7">
      <w:pPr>
        <w:pStyle w:val="Caption"/>
        <w:spacing w:before="0" w:after="0" w:line="360" w:lineRule="auto"/>
        <w:jc w:val="both"/>
        <w:rPr>
          <w:rFonts w:eastAsiaTheme="minorEastAsia"/>
          <w:b w:val="0"/>
          <w:lang w:val="en-US" w:eastAsia="ko-KR"/>
        </w:rPr>
      </w:pPr>
      <w:r>
        <w:rPr>
          <w:rFonts w:eastAsiaTheme="minorEastAsia"/>
          <w:b w:val="0"/>
          <w:lang w:val="en-US" w:eastAsia="ko-KR"/>
        </w:rPr>
        <w:t>HARQ-ACK information report has been agreed to be supported for MBS PDSCH with the exact procedure being FFS.</w:t>
      </w:r>
      <w:r w:rsidR="00F646C6">
        <w:rPr>
          <w:rFonts w:eastAsiaTheme="minorEastAsia"/>
          <w:b w:val="0"/>
          <w:lang w:val="en-US" w:eastAsia="ko-KR"/>
        </w:rPr>
        <w:t xml:space="preserve"> </w:t>
      </w:r>
      <w:r>
        <w:rPr>
          <w:rFonts w:eastAsiaTheme="minorEastAsia"/>
          <w:b w:val="0"/>
          <w:lang w:val="en-US" w:eastAsia="ko-KR"/>
        </w:rPr>
        <w:t>T</w:t>
      </w:r>
      <w:r w:rsidR="00F646C6">
        <w:rPr>
          <w:rFonts w:eastAsiaTheme="minorEastAsia"/>
          <w:b w:val="0"/>
          <w:lang w:val="en-US" w:eastAsia="ko-KR"/>
        </w:rPr>
        <w:t xml:space="preserve">wo HARQ-ACK feedback solutions </w:t>
      </w:r>
      <w:r>
        <w:rPr>
          <w:rFonts w:eastAsiaTheme="minorEastAsia"/>
          <w:b w:val="0"/>
          <w:lang w:val="en-US" w:eastAsia="ko-KR"/>
        </w:rPr>
        <w:t>have been</w:t>
      </w:r>
      <w:r w:rsidR="00F646C6">
        <w:rPr>
          <w:rFonts w:eastAsiaTheme="minorEastAsia"/>
          <w:b w:val="0"/>
          <w:lang w:val="en-US" w:eastAsia="ko-KR"/>
        </w:rPr>
        <w:t xml:space="preserve"> proposed, one </w:t>
      </w:r>
      <w:r w:rsidR="006B0384">
        <w:rPr>
          <w:rFonts w:eastAsiaTheme="minorEastAsia"/>
          <w:b w:val="0"/>
          <w:lang w:val="en-US" w:eastAsia="ko-KR"/>
        </w:rPr>
        <w:t xml:space="preserve">is </w:t>
      </w:r>
      <w:r>
        <w:rPr>
          <w:rFonts w:eastAsiaTheme="minorEastAsia"/>
          <w:b w:val="0"/>
          <w:lang w:val="en-US" w:eastAsia="ko-KR"/>
        </w:rPr>
        <w:t xml:space="preserve">for either </w:t>
      </w:r>
      <w:r w:rsidR="00F646C6">
        <w:rPr>
          <w:rFonts w:eastAsiaTheme="minorEastAsia"/>
          <w:b w:val="0"/>
          <w:lang w:val="en-US" w:eastAsia="ko-KR"/>
        </w:rPr>
        <w:t>ACK</w:t>
      </w:r>
      <w:r>
        <w:rPr>
          <w:rFonts w:eastAsiaTheme="minorEastAsia"/>
          <w:b w:val="0"/>
          <w:lang w:val="en-US" w:eastAsia="ko-KR"/>
        </w:rPr>
        <w:t xml:space="preserve"> or </w:t>
      </w:r>
      <w:r w:rsidR="00F646C6">
        <w:rPr>
          <w:rFonts w:eastAsiaTheme="minorEastAsia"/>
          <w:b w:val="0"/>
          <w:lang w:val="en-US" w:eastAsia="ko-KR"/>
        </w:rPr>
        <w:t xml:space="preserve">NACK </w:t>
      </w:r>
      <w:r>
        <w:rPr>
          <w:rFonts w:eastAsiaTheme="minorEastAsia"/>
          <w:b w:val="0"/>
          <w:lang w:val="en-US" w:eastAsia="ko-KR"/>
        </w:rPr>
        <w:t>to be reported (ACK/NACK-based HARQ-ACK feedback)</w:t>
      </w:r>
      <w:r w:rsidR="00F646C6">
        <w:rPr>
          <w:rFonts w:eastAsiaTheme="minorEastAsia"/>
          <w:b w:val="0"/>
          <w:lang w:val="en-US" w:eastAsia="ko-KR"/>
        </w:rPr>
        <w:t xml:space="preserve">, the other is </w:t>
      </w:r>
      <w:r>
        <w:rPr>
          <w:rFonts w:eastAsiaTheme="minorEastAsia"/>
          <w:b w:val="0"/>
          <w:lang w:val="en-US" w:eastAsia="ko-KR"/>
        </w:rPr>
        <w:t xml:space="preserve">for only </w:t>
      </w:r>
      <w:r w:rsidR="00F646C6">
        <w:rPr>
          <w:rFonts w:eastAsiaTheme="minorEastAsia"/>
          <w:b w:val="0"/>
          <w:lang w:val="en-US" w:eastAsia="ko-KR"/>
        </w:rPr>
        <w:t xml:space="preserve">NACK </w:t>
      </w:r>
      <w:r>
        <w:rPr>
          <w:rFonts w:eastAsiaTheme="minorEastAsia"/>
          <w:b w:val="0"/>
          <w:lang w:val="en-US" w:eastAsia="ko-KR"/>
        </w:rPr>
        <w:t>to be reported by a UE (NACK-based HARQ-ACK feedback)</w:t>
      </w:r>
      <w:r w:rsidR="006B0384">
        <w:rPr>
          <w:rFonts w:eastAsiaTheme="minorEastAsia"/>
          <w:b w:val="0"/>
          <w:lang w:val="en-US" w:eastAsia="ko-KR"/>
        </w:rPr>
        <w:t xml:space="preserve">. </w:t>
      </w:r>
    </w:p>
    <w:p w14:paraId="55D47D62" w14:textId="77777777" w:rsidR="003B0C03" w:rsidRDefault="003B0C03" w:rsidP="006858B7">
      <w:pPr>
        <w:pStyle w:val="Caption"/>
        <w:spacing w:before="0" w:after="0" w:line="360" w:lineRule="auto"/>
        <w:ind w:firstLine="284"/>
        <w:jc w:val="both"/>
        <w:rPr>
          <w:rFonts w:eastAsiaTheme="minorEastAsia"/>
          <w:b w:val="0"/>
          <w:lang w:val="en-US" w:eastAsia="ko-KR"/>
        </w:rPr>
      </w:pPr>
    </w:p>
    <w:p w14:paraId="338A3F3F" w14:textId="7811C1F6" w:rsidR="003B0C03" w:rsidRDefault="00497D17" w:rsidP="006858B7">
      <w:pPr>
        <w:pStyle w:val="Caption"/>
        <w:spacing w:before="0" w:after="0" w:line="360" w:lineRule="auto"/>
        <w:jc w:val="both"/>
        <w:rPr>
          <w:rFonts w:eastAsiaTheme="minorEastAsia"/>
          <w:b w:val="0"/>
          <w:lang w:val="en-US" w:eastAsia="ko-KR"/>
        </w:rPr>
      </w:pPr>
      <w:r>
        <w:rPr>
          <w:rFonts w:eastAsiaTheme="minorEastAsia"/>
          <w:b w:val="0"/>
          <w:lang w:val="en-US" w:eastAsia="ko-KR"/>
        </w:rPr>
        <w:t xml:space="preserve">For ACK/NACK based </w:t>
      </w:r>
      <w:r w:rsidR="003B0C03">
        <w:rPr>
          <w:rFonts w:eastAsiaTheme="minorEastAsia"/>
          <w:b w:val="0"/>
          <w:lang w:val="en-US" w:eastAsia="ko-KR"/>
        </w:rPr>
        <w:t>HARQ-ACK feedback</w:t>
      </w:r>
      <w:r>
        <w:rPr>
          <w:rFonts w:eastAsiaTheme="minorEastAsia"/>
          <w:b w:val="0"/>
          <w:lang w:val="en-US" w:eastAsia="ko-KR"/>
        </w:rPr>
        <w:t xml:space="preserve">, </w:t>
      </w:r>
      <w:r w:rsidR="003B0C03">
        <w:rPr>
          <w:rFonts w:eastAsiaTheme="minorEastAsia"/>
          <w:b w:val="0"/>
          <w:lang w:val="en-US" w:eastAsia="ko-KR"/>
        </w:rPr>
        <w:t>a perceived drawback is that it requires a large number of</w:t>
      </w:r>
      <w:r>
        <w:rPr>
          <w:rFonts w:eastAsiaTheme="minorEastAsia"/>
          <w:b w:val="0"/>
          <w:lang w:val="en-US" w:eastAsia="ko-KR"/>
        </w:rPr>
        <w:t xml:space="preserve"> PUCCH resources</w:t>
      </w:r>
      <w:r w:rsidR="006B0384">
        <w:rPr>
          <w:rFonts w:eastAsiaTheme="minorEastAsia"/>
          <w:b w:val="0"/>
          <w:lang w:val="en-US" w:eastAsia="ko-KR"/>
        </w:rPr>
        <w:t xml:space="preserve">. </w:t>
      </w:r>
      <w:r w:rsidR="003B0C03">
        <w:rPr>
          <w:rFonts w:eastAsiaTheme="minorEastAsia"/>
          <w:b w:val="0"/>
          <w:lang w:val="en-US" w:eastAsia="ko-KR"/>
        </w:rPr>
        <w:t>However, given that HARQ-ACK feedback can be disabled for a UE</w:t>
      </w:r>
      <w:r w:rsidR="0097008A">
        <w:rPr>
          <w:rFonts w:eastAsiaTheme="minorEastAsia"/>
          <w:b w:val="0"/>
          <w:lang w:val="en-US" w:eastAsia="ko-KR"/>
        </w:rPr>
        <w:t xml:space="preserve"> (e.g. as is the case for </w:t>
      </w:r>
      <w:proofErr w:type="spellStart"/>
      <w:r w:rsidR="0097008A">
        <w:rPr>
          <w:rFonts w:eastAsiaTheme="minorEastAsia"/>
          <w:b w:val="0"/>
          <w:lang w:val="en-US" w:eastAsia="ko-KR"/>
        </w:rPr>
        <w:t>sidelink</w:t>
      </w:r>
      <w:proofErr w:type="spellEnd"/>
      <w:r w:rsidR="0097008A">
        <w:rPr>
          <w:rFonts w:eastAsiaTheme="minorEastAsia"/>
          <w:b w:val="0"/>
          <w:lang w:val="en-US" w:eastAsia="ko-KR"/>
        </w:rPr>
        <w:t>, already agreed for NTN per HARQ process, and is being considered for MBS)</w:t>
      </w:r>
      <w:r w:rsidR="003B0C03">
        <w:rPr>
          <w:rFonts w:eastAsiaTheme="minorEastAsia"/>
          <w:b w:val="0"/>
          <w:lang w:val="en-US" w:eastAsia="ko-KR"/>
        </w:rPr>
        <w:t xml:space="preserve">, that drawback does not need to exist in practice. For example, if the </w:t>
      </w:r>
      <w:proofErr w:type="spellStart"/>
      <w:r w:rsidR="003B0C03">
        <w:rPr>
          <w:rFonts w:eastAsiaTheme="minorEastAsia"/>
          <w:b w:val="0"/>
          <w:lang w:val="en-US" w:eastAsia="ko-KR"/>
        </w:rPr>
        <w:t>gNB</w:t>
      </w:r>
      <w:proofErr w:type="spellEnd"/>
      <w:r w:rsidR="003B0C03">
        <w:rPr>
          <w:rFonts w:eastAsiaTheme="minorEastAsia"/>
          <w:b w:val="0"/>
          <w:lang w:val="en-US" w:eastAsia="ko-KR"/>
        </w:rPr>
        <w:t xml:space="preserve"> configures HARQ-ACK feedback only for the UEs with the ~20% worst geometry CDF (based on RSRP reports), the probability that a UE with large SINR will need to report NACK when all UEs with the lowest SINRs report ACK is negligible and much smaller than a typical HARQ-ACK BLER, particularly considering the existence of </w:t>
      </w:r>
      <w:proofErr w:type="spellStart"/>
      <w:r w:rsidR="003B0C03">
        <w:rPr>
          <w:rFonts w:eastAsiaTheme="minorEastAsia"/>
          <w:b w:val="0"/>
          <w:lang w:val="en-US" w:eastAsia="ko-KR"/>
        </w:rPr>
        <w:t>Tx</w:t>
      </w:r>
      <w:proofErr w:type="spellEnd"/>
      <w:r w:rsidR="003B0C03">
        <w:rPr>
          <w:rFonts w:eastAsiaTheme="minorEastAsia"/>
          <w:b w:val="0"/>
          <w:lang w:val="en-US" w:eastAsia="ko-KR"/>
        </w:rPr>
        <w:t>/Rx antenna diversity and of frequency diversity that provide robustness to fading.</w:t>
      </w:r>
    </w:p>
    <w:p w14:paraId="2F8E7D98" w14:textId="77A13694" w:rsidR="003B0C03" w:rsidRDefault="003B0C03" w:rsidP="006858B7">
      <w:pPr>
        <w:spacing w:after="0" w:line="360" w:lineRule="auto"/>
        <w:jc w:val="both"/>
        <w:rPr>
          <w:lang w:eastAsia="ko-KR"/>
        </w:rPr>
      </w:pPr>
    </w:p>
    <w:p w14:paraId="7EB7B7A9" w14:textId="31507B35" w:rsidR="003B0C03" w:rsidRPr="00642E03" w:rsidRDefault="003B0C03" w:rsidP="006858B7">
      <w:pPr>
        <w:spacing w:after="0" w:line="360" w:lineRule="auto"/>
        <w:jc w:val="both"/>
        <w:rPr>
          <w:i/>
          <w:iCs/>
          <w:u w:val="single"/>
          <w:lang w:eastAsia="ko-KR"/>
        </w:rPr>
      </w:pPr>
      <w:r w:rsidRPr="00642E03">
        <w:rPr>
          <w:b/>
          <w:bCs/>
          <w:i/>
          <w:iCs/>
          <w:u w:val="single"/>
          <w:lang w:eastAsia="ko-KR"/>
        </w:rPr>
        <w:t xml:space="preserve">Observation </w:t>
      </w:r>
      <w:r w:rsidRPr="006858B7">
        <w:rPr>
          <w:bCs/>
          <w:i/>
          <w:iCs/>
          <w:u w:val="single"/>
          <w:lang w:eastAsia="ko-KR"/>
        </w:rPr>
        <w:t>1</w:t>
      </w:r>
      <w:r w:rsidRPr="006858B7">
        <w:rPr>
          <w:i/>
          <w:iCs/>
          <w:u w:val="single"/>
          <w:lang w:eastAsia="ko-KR"/>
        </w:rPr>
        <w:t>:</w:t>
      </w:r>
      <w:r w:rsidRPr="00642E03">
        <w:rPr>
          <w:i/>
          <w:iCs/>
          <w:u w:val="single"/>
          <w:lang w:eastAsia="ko-KR"/>
        </w:rPr>
        <w:t xml:space="preserve"> </w:t>
      </w:r>
      <w:r w:rsidR="00642E03" w:rsidRPr="00642E03">
        <w:rPr>
          <w:i/>
          <w:iCs/>
          <w:u w:val="single"/>
          <w:lang w:eastAsia="ko-KR"/>
        </w:rPr>
        <w:t xml:space="preserve">Conventional HARQ-ACK feedback does not need to incur large </w:t>
      </w:r>
      <w:r w:rsidR="005127B5">
        <w:rPr>
          <w:i/>
          <w:iCs/>
          <w:u w:val="single"/>
          <w:lang w:eastAsia="ko-KR"/>
        </w:rPr>
        <w:t xml:space="preserve">system </w:t>
      </w:r>
      <w:r w:rsidR="00642E03" w:rsidRPr="00642E03">
        <w:rPr>
          <w:i/>
          <w:iCs/>
          <w:u w:val="single"/>
          <w:lang w:eastAsia="ko-KR"/>
        </w:rPr>
        <w:t>overhead for MBS PDSCH.</w:t>
      </w:r>
    </w:p>
    <w:p w14:paraId="4604DB84" w14:textId="77777777" w:rsidR="003B0C03" w:rsidRDefault="003B0C03" w:rsidP="006858B7">
      <w:pPr>
        <w:pStyle w:val="Caption"/>
        <w:spacing w:before="0" w:after="0" w:line="360" w:lineRule="auto"/>
        <w:jc w:val="both"/>
        <w:rPr>
          <w:rFonts w:eastAsiaTheme="minorEastAsia"/>
          <w:b w:val="0"/>
          <w:lang w:val="en-US" w:eastAsia="ko-KR"/>
        </w:rPr>
      </w:pPr>
    </w:p>
    <w:p w14:paraId="75257ECE" w14:textId="2BB2B9E6" w:rsidR="00642E03" w:rsidRDefault="00497D17" w:rsidP="006858B7">
      <w:pPr>
        <w:pStyle w:val="Caption"/>
        <w:spacing w:before="0" w:after="0" w:line="360" w:lineRule="auto"/>
        <w:ind w:firstLine="284"/>
        <w:jc w:val="both"/>
        <w:rPr>
          <w:rFonts w:eastAsiaTheme="minorEastAsia"/>
          <w:b w:val="0"/>
          <w:lang w:val="en-US" w:eastAsia="ko-KR"/>
        </w:rPr>
      </w:pPr>
      <w:r>
        <w:rPr>
          <w:rFonts w:eastAsiaTheme="minorEastAsia"/>
          <w:b w:val="0"/>
          <w:lang w:val="en-US" w:eastAsia="ko-KR"/>
        </w:rPr>
        <w:t xml:space="preserve">For NACK-only solution, </w:t>
      </w:r>
      <w:r w:rsidR="00642E03">
        <w:rPr>
          <w:rFonts w:eastAsiaTheme="minorEastAsia"/>
          <w:b w:val="0"/>
          <w:lang w:val="en-US" w:eastAsia="ko-KR"/>
        </w:rPr>
        <w:t>one PUCCH resource is sufficient. However, there are some important disadvantages:</w:t>
      </w:r>
    </w:p>
    <w:p w14:paraId="02953B05" w14:textId="469FA3E8" w:rsidR="00642E03" w:rsidRDefault="00642E03" w:rsidP="006858B7">
      <w:pPr>
        <w:pStyle w:val="B1"/>
        <w:numPr>
          <w:ilvl w:val="0"/>
          <w:numId w:val="34"/>
        </w:numPr>
        <w:spacing w:after="0" w:line="360" w:lineRule="auto"/>
        <w:jc w:val="both"/>
      </w:pPr>
      <w:r>
        <w:rPr>
          <w:lang w:eastAsia="ja-JP"/>
        </w:rPr>
        <w:t xml:space="preserve">DTX cannot be (indirectly) </w:t>
      </w:r>
      <w:r w:rsidR="007C2EA2">
        <w:rPr>
          <w:lang w:eastAsia="ja-JP"/>
        </w:rPr>
        <w:t>indicated</w:t>
      </w:r>
      <w:r>
        <w:t xml:space="preserve"> – if any UEs fail to detect the PDCCH and remaining UEs decode correctly the MBS PDSCH, the error is costly and can only be later resolved </w:t>
      </w:r>
      <w:r w:rsidR="007C2EA2">
        <w:t>from</w:t>
      </w:r>
      <w:r>
        <w:t xml:space="preserve"> higher layer</w:t>
      </w:r>
      <w:r w:rsidR="007C2EA2">
        <w:t>s by ARQ</w:t>
      </w:r>
      <w:r>
        <w:t xml:space="preserve">. </w:t>
      </w:r>
      <w:r w:rsidR="007C2EA2">
        <w:t>Further, t</w:t>
      </w:r>
      <w:r>
        <w:t xml:space="preserve">hat can be expected to be a relatively common event as, in practice, PDCCH and PDSCH </w:t>
      </w:r>
      <w:r w:rsidR="007C2EA2">
        <w:t>link reception quality is correlated</w:t>
      </w:r>
      <w:r>
        <w:t>.</w:t>
      </w:r>
    </w:p>
    <w:p w14:paraId="5CCB7E73" w14:textId="1AA16F10" w:rsidR="00642E03" w:rsidRDefault="00642E03" w:rsidP="006858B7">
      <w:pPr>
        <w:pStyle w:val="B1"/>
        <w:numPr>
          <w:ilvl w:val="1"/>
          <w:numId w:val="34"/>
        </w:numPr>
        <w:spacing w:after="0" w:line="360" w:lineRule="auto"/>
        <w:jc w:val="both"/>
      </w:pPr>
      <w:r>
        <w:t>Absence of DTX reporting also disables outer-loop link adaptation for the PDCCH</w:t>
      </w:r>
    </w:p>
    <w:p w14:paraId="1F7CE0D0" w14:textId="274623B6" w:rsidR="00642E03" w:rsidRDefault="00642E03" w:rsidP="006858B7">
      <w:pPr>
        <w:pStyle w:val="B1"/>
        <w:numPr>
          <w:ilvl w:val="0"/>
          <w:numId w:val="34"/>
        </w:numPr>
        <w:spacing w:after="0" w:line="360" w:lineRule="auto"/>
        <w:jc w:val="both"/>
      </w:pPr>
      <w:r>
        <w:t>BLER increases – either for</w:t>
      </w:r>
      <w:r w:rsidR="004C3279">
        <w:t xml:space="preserve"> NACK (leading to unnecessary retransmissions) or for ACK (leading to higher layer ARQ resolution and service disruption). The </w:t>
      </w:r>
      <w:proofErr w:type="spellStart"/>
      <w:r w:rsidR="004C3279">
        <w:t>gNB</w:t>
      </w:r>
      <w:proofErr w:type="spellEnd"/>
      <w:r w:rsidR="004C3279">
        <w:t xml:space="preserve"> receiver algorithm may also need to be modified</w:t>
      </w:r>
    </w:p>
    <w:p w14:paraId="48D4B3AA" w14:textId="7198CBFA" w:rsidR="004C3279" w:rsidRDefault="004C3279" w:rsidP="006858B7">
      <w:pPr>
        <w:pStyle w:val="B1"/>
        <w:numPr>
          <w:ilvl w:val="1"/>
          <w:numId w:val="34"/>
        </w:numPr>
        <w:spacing w:after="0" w:line="360" w:lineRule="auto"/>
        <w:jc w:val="both"/>
      </w:pPr>
      <w:r>
        <w:lastRenderedPageBreak/>
        <w:t xml:space="preserve">For conventional HARQ-ACK reporting, the </w:t>
      </w:r>
      <w:proofErr w:type="spellStart"/>
      <w:r>
        <w:t>gNB</w:t>
      </w:r>
      <w:proofErr w:type="spellEnd"/>
      <w:r>
        <w:t xml:space="preserve"> places an energy detection threshold so that a DTX-to-ACK probability is about 10</w:t>
      </w:r>
      <w:r w:rsidRPr="004C3279">
        <w:rPr>
          <w:vertAlign w:val="superscript"/>
        </w:rPr>
        <w:t>-2</w:t>
      </w:r>
      <w:r>
        <w:t xml:space="preserve">. But now DTX is not equivalent to NACK, it is equivalent to NACK. The corresponding threshold at the </w:t>
      </w:r>
      <w:proofErr w:type="spellStart"/>
      <w:r>
        <w:t>gNB</w:t>
      </w:r>
      <w:proofErr w:type="spellEnd"/>
      <w:r>
        <w:t xml:space="preserve"> receiver needs to be placed at a lower value in order to consider detection of weak signals as NACK and avoid interpreting an ACK. Assuming same ACK and NACK target error values as for </w:t>
      </w:r>
      <w:proofErr w:type="spellStart"/>
      <w:r>
        <w:t>eMBB</w:t>
      </w:r>
      <w:proofErr w:type="spellEnd"/>
      <w:r>
        <w:t>, the NACK-to-DTX probability should be 10</w:t>
      </w:r>
      <w:r w:rsidRPr="004C3279">
        <w:rPr>
          <w:vertAlign w:val="superscript"/>
        </w:rPr>
        <w:t>-4</w:t>
      </w:r>
      <w:r>
        <w:t xml:space="preserve"> leading to more MBS PDSCH retransmissions than if conventional HARQ-ACK is reported. Such retransmissions are likely to more than offset any PUCCH resource savings (that are anyway minimal since many UEs can multiplex PUCCH transmissions in a same RB). </w:t>
      </w:r>
    </w:p>
    <w:p w14:paraId="0DD621A5" w14:textId="214D19D4" w:rsidR="00657792" w:rsidRDefault="00657792" w:rsidP="006858B7">
      <w:pPr>
        <w:pStyle w:val="B1"/>
        <w:numPr>
          <w:ilvl w:val="0"/>
          <w:numId w:val="34"/>
        </w:numPr>
        <w:spacing w:after="0" w:line="360" w:lineRule="auto"/>
        <w:jc w:val="both"/>
      </w:pPr>
      <w:r>
        <w:t>NACK-based solution is not possible</w:t>
      </w:r>
      <w:r w:rsidR="007C2EA2">
        <w:t xml:space="preserve"> is a UE multiplexes HARQ-ACK feedback for MBS PDSCH with unicast UCI (HARQ-ACK, SR, CSI) or, as it can be expected for NR where the large majority of bands are TDD, for multiple MBS PDSCH receptions.</w:t>
      </w:r>
    </w:p>
    <w:p w14:paraId="2463A6DA" w14:textId="25E4A193" w:rsidR="00642E03" w:rsidRDefault="00642E03" w:rsidP="006858B7">
      <w:pPr>
        <w:pStyle w:val="Caption"/>
        <w:spacing w:before="0" w:after="0" w:line="360" w:lineRule="auto"/>
        <w:ind w:firstLine="284"/>
        <w:jc w:val="both"/>
        <w:rPr>
          <w:rFonts w:eastAsiaTheme="minorEastAsia"/>
          <w:b w:val="0"/>
          <w:lang w:val="en-US" w:eastAsia="ko-KR"/>
        </w:rPr>
      </w:pPr>
    </w:p>
    <w:p w14:paraId="77944BD8" w14:textId="39488965" w:rsidR="007C2EA2" w:rsidRPr="00642E03" w:rsidRDefault="007C2EA2" w:rsidP="006858B7">
      <w:pPr>
        <w:spacing w:after="0" w:line="360" w:lineRule="auto"/>
        <w:jc w:val="both"/>
        <w:rPr>
          <w:i/>
          <w:iCs/>
          <w:u w:val="single"/>
          <w:lang w:eastAsia="ko-KR"/>
        </w:rPr>
      </w:pPr>
      <w:r w:rsidRPr="00642E03">
        <w:rPr>
          <w:b/>
          <w:bCs/>
          <w:i/>
          <w:iCs/>
          <w:u w:val="single"/>
          <w:lang w:eastAsia="ko-KR"/>
        </w:rPr>
        <w:t xml:space="preserve">Observation </w:t>
      </w:r>
      <w:r>
        <w:rPr>
          <w:b/>
          <w:bCs/>
          <w:i/>
          <w:iCs/>
          <w:u w:val="single"/>
          <w:lang w:eastAsia="ko-KR"/>
        </w:rPr>
        <w:t>2</w:t>
      </w:r>
      <w:r w:rsidRPr="006858B7">
        <w:rPr>
          <w:b/>
          <w:i/>
          <w:iCs/>
          <w:u w:val="single"/>
          <w:lang w:eastAsia="ko-KR"/>
        </w:rPr>
        <w:t>:</w:t>
      </w:r>
      <w:r w:rsidRPr="00642E03">
        <w:rPr>
          <w:i/>
          <w:iCs/>
          <w:u w:val="single"/>
          <w:lang w:eastAsia="ko-KR"/>
        </w:rPr>
        <w:t xml:space="preserve"> </w:t>
      </w:r>
      <w:r>
        <w:rPr>
          <w:i/>
          <w:iCs/>
          <w:u w:val="single"/>
          <w:lang w:eastAsia="ko-KR"/>
        </w:rPr>
        <w:t xml:space="preserve">NACK-only based HARQ-ACK feedback has </w:t>
      </w:r>
      <w:r w:rsidR="006F3143">
        <w:rPr>
          <w:i/>
          <w:iCs/>
          <w:u w:val="single"/>
          <w:lang w:eastAsia="ko-KR"/>
        </w:rPr>
        <w:t xml:space="preserve">several important </w:t>
      </w:r>
      <w:r>
        <w:rPr>
          <w:i/>
          <w:iCs/>
          <w:u w:val="single"/>
          <w:lang w:eastAsia="ko-KR"/>
        </w:rPr>
        <w:t>drawbacks and is typically inapplicable</w:t>
      </w:r>
      <w:r w:rsidRPr="00642E03">
        <w:rPr>
          <w:i/>
          <w:iCs/>
          <w:u w:val="single"/>
          <w:lang w:eastAsia="ko-KR"/>
        </w:rPr>
        <w:t>.</w:t>
      </w:r>
    </w:p>
    <w:p w14:paraId="4F1749C9" w14:textId="040201DB" w:rsidR="007C2EA2" w:rsidRDefault="007C2EA2" w:rsidP="006858B7">
      <w:pPr>
        <w:spacing w:after="0" w:line="360" w:lineRule="auto"/>
        <w:jc w:val="both"/>
        <w:rPr>
          <w:lang w:eastAsia="ko-KR"/>
        </w:rPr>
      </w:pPr>
    </w:p>
    <w:p w14:paraId="5C0DDDB0" w14:textId="044A699E" w:rsidR="007C2EA2" w:rsidRDefault="005127B5" w:rsidP="006858B7">
      <w:pPr>
        <w:spacing w:after="0" w:line="360" w:lineRule="auto"/>
        <w:jc w:val="both"/>
        <w:rPr>
          <w:lang w:eastAsia="ko-KR"/>
        </w:rPr>
      </w:pPr>
      <w:r>
        <w:rPr>
          <w:lang w:eastAsia="ko-KR"/>
        </w:rPr>
        <w:t>A</w:t>
      </w:r>
      <w:r w:rsidR="007C2EA2">
        <w:rPr>
          <w:lang w:eastAsia="ko-KR"/>
        </w:rPr>
        <w:t>t least conventional HARQ-ACK feedback (ACK/NACK-based) should be supported. Whether there is any nee</w:t>
      </w:r>
      <w:r w:rsidR="0004320D">
        <w:rPr>
          <w:lang w:eastAsia="ko-KR"/>
        </w:rPr>
        <w:t>d to support NACK-based HARQ-ACK feedback may be further considered subject to resolving associated functionality and operational issues.</w:t>
      </w:r>
      <w:r w:rsidR="007C2EA2">
        <w:rPr>
          <w:lang w:eastAsia="ko-KR"/>
        </w:rPr>
        <w:t xml:space="preserve"> </w:t>
      </w:r>
    </w:p>
    <w:p w14:paraId="64F47EB2" w14:textId="22CF4396" w:rsidR="007C2EA2" w:rsidRDefault="007C2EA2" w:rsidP="007C2EA2">
      <w:pPr>
        <w:spacing w:after="0" w:line="360" w:lineRule="auto"/>
        <w:rPr>
          <w:lang w:eastAsia="ko-KR"/>
        </w:rPr>
      </w:pPr>
    </w:p>
    <w:p w14:paraId="04608ECA" w14:textId="4CC8C89E" w:rsidR="0004320D" w:rsidRPr="0004320D" w:rsidRDefault="0004320D" w:rsidP="007C2EA2">
      <w:pPr>
        <w:spacing w:after="0" w:line="360" w:lineRule="auto"/>
        <w:rPr>
          <w:b/>
          <w:bCs/>
          <w:lang w:eastAsia="ko-KR"/>
        </w:rPr>
      </w:pPr>
      <w:r w:rsidRPr="0004320D">
        <w:rPr>
          <w:b/>
          <w:bCs/>
          <w:lang w:eastAsia="ko-KR"/>
        </w:rPr>
        <w:t>Proposal 1: HARQ-ACK feedback for MBS PDSCH receptions is as for unicast PDSCH receptions. FFS for NACK-only HARQ-ACK feedback.</w:t>
      </w:r>
    </w:p>
    <w:p w14:paraId="46D214D2" w14:textId="77777777" w:rsidR="00657792" w:rsidRPr="00657792" w:rsidRDefault="00657792" w:rsidP="00657792">
      <w:pPr>
        <w:rPr>
          <w:lang w:val="en-GB"/>
        </w:rPr>
      </w:pPr>
    </w:p>
    <w:p w14:paraId="1224BE3A" w14:textId="77777777" w:rsidR="00F646C6" w:rsidRDefault="00F646C6" w:rsidP="00497D17">
      <w:pPr>
        <w:pStyle w:val="ListParagraph"/>
        <w:numPr>
          <w:ilvl w:val="2"/>
          <w:numId w:val="11"/>
        </w:numPr>
        <w:rPr>
          <w:rFonts w:eastAsia="宋体"/>
          <w:sz w:val="28"/>
          <w:szCs w:val="28"/>
          <w:lang w:val="en-GB" w:eastAsia="zh-CN"/>
        </w:rPr>
      </w:pPr>
      <w:r>
        <w:rPr>
          <w:rFonts w:eastAsia="宋体" w:hint="eastAsia"/>
          <w:sz w:val="28"/>
          <w:szCs w:val="28"/>
          <w:lang w:val="en-GB" w:eastAsia="zh-CN"/>
        </w:rPr>
        <w:t>M</w:t>
      </w:r>
      <w:r>
        <w:rPr>
          <w:rFonts w:eastAsia="宋体"/>
          <w:sz w:val="28"/>
          <w:szCs w:val="28"/>
          <w:lang w:val="en-GB" w:eastAsia="zh-CN"/>
        </w:rPr>
        <w:t>ultiplex or priority between multicast HARQ-ACK and unicast HARQ-ACK</w:t>
      </w:r>
    </w:p>
    <w:p w14:paraId="26A27543" w14:textId="31C5F984" w:rsidR="00FB35A6" w:rsidRDefault="0004320D" w:rsidP="006858B7">
      <w:pPr>
        <w:pStyle w:val="Caption"/>
        <w:spacing w:before="0" w:after="0" w:line="360" w:lineRule="auto"/>
        <w:jc w:val="both"/>
        <w:rPr>
          <w:rFonts w:eastAsiaTheme="minorEastAsia"/>
          <w:b w:val="0"/>
          <w:lang w:val="en-US" w:eastAsia="ko-KR"/>
        </w:rPr>
      </w:pPr>
      <w:r>
        <w:rPr>
          <w:rFonts w:eastAsiaTheme="minorEastAsia"/>
          <w:b w:val="0"/>
          <w:lang w:val="en-US" w:eastAsia="ko-KR"/>
        </w:rPr>
        <w:t xml:space="preserve">Unicast traffic and MBS traffic can have different reliability requirements for a given UE and corresponding HARQ-ACK information can follow those requirements. In that sense, the situation is similar to the one in Rel-16 for a UE supporting both </w:t>
      </w:r>
      <w:proofErr w:type="spellStart"/>
      <w:r>
        <w:rPr>
          <w:rFonts w:eastAsiaTheme="minorEastAsia"/>
          <w:b w:val="0"/>
          <w:lang w:val="en-US" w:eastAsia="ko-KR"/>
        </w:rPr>
        <w:t>eMBB</w:t>
      </w:r>
      <w:proofErr w:type="spellEnd"/>
      <w:r>
        <w:rPr>
          <w:rFonts w:eastAsiaTheme="minorEastAsia"/>
          <w:b w:val="0"/>
          <w:lang w:val="en-US" w:eastAsia="ko-KR"/>
        </w:rPr>
        <w:t xml:space="preserve"> and URLLC services</w:t>
      </w:r>
      <w:r w:rsidR="0097008A">
        <w:rPr>
          <w:rFonts w:eastAsiaTheme="minorEastAsia"/>
          <w:b w:val="0"/>
          <w:lang w:val="en-US" w:eastAsia="ko-KR"/>
        </w:rPr>
        <w:t xml:space="preserve"> where the UCI with lower priority is dropped. In Rel-17, multiplexing is to be supported.</w:t>
      </w:r>
    </w:p>
    <w:p w14:paraId="34B138D6" w14:textId="77777777" w:rsidR="0004320D" w:rsidRPr="0004320D" w:rsidRDefault="0004320D" w:rsidP="0097008A">
      <w:pPr>
        <w:spacing w:after="0" w:line="360" w:lineRule="auto"/>
        <w:rPr>
          <w:lang w:eastAsia="ko-KR"/>
        </w:rPr>
      </w:pPr>
    </w:p>
    <w:p w14:paraId="41795C0A" w14:textId="2C202E03" w:rsidR="00FB35A6" w:rsidRPr="00B838F7" w:rsidRDefault="00FB35A6" w:rsidP="0097008A">
      <w:pPr>
        <w:pStyle w:val="Caption"/>
        <w:spacing w:before="0" w:after="0" w:line="360" w:lineRule="auto"/>
        <w:jc w:val="both"/>
      </w:pPr>
      <w:r>
        <w:t xml:space="preserve">Proposal </w:t>
      </w:r>
      <w:r>
        <w:fldChar w:fldCharType="begin"/>
      </w:r>
      <w:r>
        <w:instrText xml:space="preserve"> SEQ Proposal \* ARABIC </w:instrText>
      </w:r>
      <w:r>
        <w:fldChar w:fldCharType="separate"/>
      </w:r>
      <w:r>
        <w:t>2</w:t>
      </w:r>
      <w:r>
        <w:fldChar w:fldCharType="end"/>
      </w:r>
      <w:r w:rsidR="006858B7">
        <w:t>:</w:t>
      </w:r>
      <w:r>
        <w:t xml:space="preserve"> </w:t>
      </w:r>
      <w:r w:rsidR="0004320D">
        <w:t>Support configuration between</w:t>
      </w:r>
      <w:r>
        <w:t xml:space="preserve"> multiplexing and prioritization of </w:t>
      </w:r>
      <w:r w:rsidR="0004320D">
        <w:t xml:space="preserve">MBS </w:t>
      </w:r>
      <w:r>
        <w:t xml:space="preserve">HARQ-ACK feedback </w:t>
      </w:r>
      <w:r w:rsidR="0004320D">
        <w:t>and</w:t>
      </w:r>
      <w:r>
        <w:t xml:space="preserve"> unicast </w:t>
      </w:r>
      <w:r w:rsidR="0097008A">
        <w:t>UCI</w:t>
      </w:r>
      <w:r>
        <w:t>.</w:t>
      </w:r>
    </w:p>
    <w:p w14:paraId="67CCB729" w14:textId="77777777" w:rsidR="00F646C6" w:rsidRPr="00FB35A6" w:rsidRDefault="00F646C6" w:rsidP="00497D17">
      <w:pPr>
        <w:pStyle w:val="ListParagraph"/>
        <w:rPr>
          <w:rFonts w:eastAsia="宋体"/>
          <w:sz w:val="28"/>
          <w:szCs w:val="28"/>
          <w:lang w:val="en-GB" w:eastAsia="zh-CN"/>
        </w:rPr>
      </w:pPr>
    </w:p>
    <w:p w14:paraId="339B7D55" w14:textId="77777777" w:rsidR="00F646C6" w:rsidRDefault="00F646C6" w:rsidP="00497D17">
      <w:pPr>
        <w:pStyle w:val="ListParagraph"/>
        <w:numPr>
          <w:ilvl w:val="2"/>
          <w:numId w:val="11"/>
        </w:numPr>
        <w:rPr>
          <w:rFonts w:eastAsia="宋体"/>
          <w:sz w:val="28"/>
          <w:szCs w:val="28"/>
          <w:lang w:val="en-GB" w:eastAsia="zh-CN"/>
        </w:rPr>
      </w:pPr>
      <w:r>
        <w:rPr>
          <w:rFonts w:eastAsia="宋体"/>
          <w:sz w:val="28"/>
          <w:szCs w:val="28"/>
          <w:lang w:val="en-GB" w:eastAsia="zh-CN"/>
        </w:rPr>
        <w:t>HARQ-ACK disable/enable</w:t>
      </w:r>
    </w:p>
    <w:p w14:paraId="6F23ECC2" w14:textId="1246BCC1" w:rsidR="00F646C6" w:rsidRDefault="005B7A71" w:rsidP="006858B7">
      <w:pPr>
        <w:pStyle w:val="Caption"/>
        <w:spacing w:before="0" w:after="0" w:line="360" w:lineRule="auto"/>
        <w:jc w:val="both"/>
        <w:rPr>
          <w:rFonts w:eastAsiaTheme="minorEastAsia"/>
          <w:b w:val="0"/>
          <w:lang w:val="en-US" w:eastAsia="ko-KR"/>
        </w:rPr>
      </w:pPr>
      <w:r>
        <w:rPr>
          <w:rFonts w:eastAsiaTheme="minorEastAsia"/>
          <w:b w:val="0"/>
          <w:lang w:val="en-US" w:eastAsia="ko-KR"/>
        </w:rPr>
        <w:t xml:space="preserve">As previously mentioned, it is not necessary for some/all UEs with moderate/high SINRs to provide HARQ-ACK feedback when UEs with low SINRs provide HARQ-ACK feedback for MBS PDSCH. Therefore, to conserve some PUCCH resources and avoid unnecessary UE power consumptions, a </w:t>
      </w:r>
      <w:proofErr w:type="spellStart"/>
      <w:r>
        <w:rPr>
          <w:rFonts w:eastAsiaTheme="minorEastAsia"/>
          <w:b w:val="0"/>
          <w:lang w:val="en-US" w:eastAsia="ko-KR"/>
        </w:rPr>
        <w:t>gNB</w:t>
      </w:r>
      <w:proofErr w:type="spellEnd"/>
      <w:r>
        <w:rPr>
          <w:rFonts w:eastAsiaTheme="minorEastAsia"/>
          <w:b w:val="0"/>
          <w:lang w:val="en-US" w:eastAsia="ko-KR"/>
        </w:rPr>
        <w:t xml:space="preserve"> should be able to configure a UE whether or not to report HARQ-ACK feedback for MBS PDSCH receptions.</w:t>
      </w:r>
    </w:p>
    <w:p w14:paraId="503EC83C" w14:textId="77777777" w:rsidR="003620C6" w:rsidRDefault="003620C6" w:rsidP="007550CE">
      <w:pPr>
        <w:pStyle w:val="Caption"/>
        <w:spacing w:before="0" w:after="0" w:line="360" w:lineRule="auto"/>
        <w:jc w:val="both"/>
      </w:pPr>
    </w:p>
    <w:p w14:paraId="13948615" w14:textId="51EBE314" w:rsidR="007550CE" w:rsidRPr="00B838F7" w:rsidRDefault="007550CE" w:rsidP="007550CE">
      <w:pPr>
        <w:pStyle w:val="Caption"/>
        <w:spacing w:before="0" w:after="0" w:line="360" w:lineRule="auto"/>
        <w:jc w:val="both"/>
      </w:pPr>
      <w:r>
        <w:t>Proposal 3</w:t>
      </w:r>
      <w:r w:rsidR="006858B7">
        <w:t>:</w:t>
      </w:r>
      <w:r>
        <w:t xml:space="preserve"> </w:t>
      </w:r>
      <w:r w:rsidR="005B7A71">
        <w:t xml:space="preserve">A </w:t>
      </w:r>
      <w:proofErr w:type="spellStart"/>
      <w:r w:rsidR="005B7A71">
        <w:t>gNB</w:t>
      </w:r>
      <w:proofErr w:type="spellEnd"/>
      <w:r w:rsidR="005B7A71">
        <w:t xml:space="preserve"> can </w:t>
      </w:r>
      <w:r w:rsidR="00945343">
        <w:t xml:space="preserve">be </w:t>
      </w:r>
      <w:r w:rsidR="005B7A71">
        <w:t xml:space="preserve">configured by higher layers a UE whether or not to report </w:t>
      </w:r>
      <w:r>
        <w:t xml:space="preserve">HARQ-ACK </w:t>
      </w:r>
      <w:r w:rsidR="005B7A71">
        <w:t xml:space="preserve">information for SPS PDSCH receptions. </w:t>
      </w:r>
    </w:p>
    <w:p w14:paraId="43E896C4" w14:textId="77777777" w:rsidR="007550CE" w:rsidRPr="007550CE" w:rsidRDefault="007550CE" w:rsidP="007550CE">
      <w:pPr>
        <w:rPr>
          <w:rFonts w:eastAsiaTheme="minorEastAsia"/>
          <w:lang w:val="en-GB" w:eastAsia="ko-KR"/>
        </w:rPr>
      </w:pPr>
    </w:p>
    <w:p w14:paraId="033E9A2C" w14:textId="77777777" w:rsidR="00945343" w:rsidRPr="00F646C6" w:rsidRDefault="00945343" w:rsidP="00945343">
      <w:pPr>
        <w:pStyle w:val="ListParagraph"/>
        <w:numPr>
          <w:ilvl w:val="2"/>
          <w:numId w:val="11"/>
        </w:numPr>
        <w:rPr>
          <w:rFonts w:eastAsia="宋体"/>
          <w:sz w:val="28"/>
          <w:szCs w:val="28"/>
          <w:lang w:val="en-GB" w:eastAsia="zh-CN"/>
        </w:rPr>
      </w:pPr>
      <w:r>
        <w:rPr>
          <w:rFonts w:eastAsia="宋体"/>
          <w:sz w:val="28"/>
          <w:szCs w:val="28"/>
          <w:lang w:val="en-GB" w:eastAsia="zh-CN"/>
        </w:rPr>
        <w:t>MBS HARQ-ACK Timing</w:t>
      </w:r>
    </w:p>
    <w:p w14:paraId="13AD2E41" w14:textId="07F76CD9" w:rsidR="00945343" w:rsidRPr="00020FA0" w:rsidRDefault="00945343" w:rsidP="006858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Theme="minorEastAsia"/>
          <w:lang w:eastAsia="ko-KR"/>
        </w:rPr>
      </w:pPr>
      <w:r>
        <w:rPr>
          <w:rFonts w:eastAsiaTheme="minorEastAsia"/>
          <w:lang w:eastAsia="ko-KR"/>
        </w:rPr>
        <w:t>T</w:t>
      </w:r>
      <w:r w:rsidRPr="00020FA0">
        <w:rPr>
          <w:rFonts w:eastAsiaTheme="minorEastAsia"/>
          <w:lang w:eastAsia="ko-KR"/>
        </w:rPr>
        <w:t xml:space="preserve">he HARQ-ACK timing indicated in the DCI format needs to be applicable according to the SCS of the active UL BWP of the </w:t>
      </w:r>
      <w:r w:rsidR="006F3143">
        <w:rPr>
          <w:rFonts w:eastAsiaTheme="minorEastAsia"/>
          <w:lang w:eastAsia="ko-KR"/>
        </w:rPr>
        <w:t>primary</w:t>
      </w:r>
      <w:r w:rsidRPr="00020FA0">
        <w:rPr>
          <w:rFonts w:eastAsiaTheme="minorEastAsia"/>
          <w:lang w:eastAsia="ko-KR"/>
        </w:rPr>
        <w:t xml:space="preserve"> for a UE</w:t>
      </w:r>
      <w:r w:rsidR="006F3143">
        <w:rPr>
          <w:rFonts w:eastAsia="宋体"/>
          <w:lang w:eastAsia="zh-CN"/>
        </w:rPr>
        <w:t>.</w:t>
      </w:r>
      <w:r>
        <w:rPr>
          <w:rFonts w:eastAsia="宋体"/>
          <w:lang w:eastAsia="zh-CN"/>
        </w:rPr>
        <w:t xml:space="preserve"> </w:t>
      </w:r>
      <w:r w:rsidR="006F3143">
        <w:rPr>
          <w:rFonts w:eastAsiaTheme="minorEastAsia"/>
          <w:lang w:eastAsia="ko-KR"/>
        </w:rPr>
        <w:t>D</w:t>
      </w:r>
      <w:r w:rsidRPr="00020FA0">
        <w:rPr>
          <w:rFonts w:eastAsiaTheme="minorEastAsia"/>
          <w:lang w:eastAsia="ko-KR"/>
        </w:rPr>
        <w:t>ifferent UEs can have different SCS for active UL BWP</w:t>
      </w:r>
      <w:r>
        <w:rPr>
          <w:rFonts w:eastAsiaTheme="minorEastAsia"/>
          <w:lang w:eastAsia="ko-KR"/>
        </w:rPr>
        <w:t>s</w:t>
      </w:r>
      <w:r w:rsidRPr="00020FA0">
        <w:rPr>
          <w:rFonts w:eastAsiaTheme="minorEastAsia"/>
          <w:lang w:eastAsia="ko-KR"/>
        </w:rPr>
        <w:t xml:space="preserve"> on their primary cell</w:t>
      </w:r>
      <w:r w:rsidR="006F3143">
        <w:rPr>
          <w:rFonts w:eastAsiaTheme="minorEastAsia"/>
          <w:lang w:eastAsia="ko-KR"/>
        </w:rPr>
        <w:t>s</w:t>
      </w:r>
      <w:r w:rsidR="006F3143">
        <w:rPr>
          <w:rFonts w:eastAsia="宋体"/>
          <w:lang w:eastAsia="zh-CN"/>
        </w:rPr>
        <w:t>.</w:t>
      </w:r>
      <w:r>
        <w:rPr>
          <w:rFonts w:eastAsiaTheme="minorEastAsia"/>
          <w:lang w:eastAsia="ko-KR"/>
        </w:rPr>
        <w:t xml:space="preserve">  </w:t>
      </w:r>
      <w:r w:rsidR="006F3143">
        <w:rPr>
          <w:rFonts w:eastAsiaTheme="minorEastAsia"/>
          <w:lang w:eastAsia="ko-KR"/>
        </w:rPr>
        <w:t xml:space="preserve">A UE interprets </w:t>
      </w:r>
      <w:r w:rsidR="006F3143">
        <w:rPr>
          <w:rFonts w:eastAsiaTheme="minorEastAsia"/>
          <w:lang w:eastAsia="ko-KR"/>
        </w:rPr>
        <w:lastRenderedPageBreak/>
        <w:t xml:space="preserve">the value of the </w:t>
      </w:r>
      <w:r>
        <w:rPr>
          <w:rFonts w:eastAsiaTheme="minorEastAsia"/>
          <w:lang w:eastAsia="ko-KR"/>
        </w:rPr>
        <w:t xml:space="preserve">HARQ-ACK timing indicator </w:t>
      </w:r>
      <w:r w:rsidR="006F3143">
        <w:rPr>
          <w:rFonts w:eastAsiaTheme="minorEastAsia"/>
          <w:lang w:eastAsia="ko-KR"/>
        </w:rPr>
        <w:t xml:space="preserve">field </w:t>
      </w:r>
      <w:r>
        <w:rPr>
          <w:rFonts w:eastAsiaTheme="minorEastAsia"/>
          <w:lang w:eastAsia="ko-KR"/>
        </w:rPr>
        <w:t xml:space="preserve">in the DCI format </w:t>
      </w:r>
      <w:r w:rsidR="006F3143">
        <w:rPr>
          <w:rFonts w:eastAsiaTheme="minorEastAsia"/>
          <w:lang w:eastAsia="ko-KR"/>
        </w:rPr>
        <w:t>according to the</w:t>
      </w:r>
      <w:r w:rsidRPr="00020FA0">
        <w:rPr>
          <w:rFonts w:eastAsiaTheme="minorEastAsia"/>
          <w:lang w:eastAsia="ko-KR"/>
        </w:rPr>
        <w:t xml:space="preserve"> SCS </w:t>
      </w:r>
      <w:r w:rsidR="006F3143">
        <w:rPr>
          <w:rFonts w:eastAsiaTheme="minorEastAsia"/>
          <w:lang w:eastAsia="ko-KR"/>
        </w:rPr>
        <w:t>of</w:t>
      </w:r>
      <w:r w:rsidRPr="00020FA0">
        <w:rPr>
          <w:rFonts w:eastAsiaTheme="minorEastAsia"/>
          <w:lang w:eastAsia="ko-KR"/>
        </w:rPr>
        <w:t xml:space="preserve"> </w:t>
      </w:r>
      <w:r w:rsidR="006F3143">
        <w:rPr>
          <w:rFonts w:eastAsiaTheme="minorEastAsia"/>
          <w:lang w:eastAsia="ko-KR"/>
        </w:rPr>
        <w:t xml:space="preserve">its </w:t>
      </w:r>
      <w:r w:rsidRPr="00020FA0">
        <w:rPr>
          <w:rFonts w:eastAsiaTheme="minorEastAsia"/>
          <w:lang w:eastAsia="ko-KR"/>
        </w:rPr>
        <w:t>active UL BWP on the primary cell</w:t>
      </w:r>
      <w:r>
        <w:rPr>
          <w:rFonts w:eastAsiaTheme="minorEastAsia"/>
          <w:lang w:eastAsia="ko-KR"/>
        </w:rPr>
        <w:t>.</w:t>
      </w:r>
      <w:r w:rsidRPr="00020FA0">
        <w:rPr>
          <w:rFonts w:eastAsiaTheme="minorEastAsia"/>
          <w:lang w:eastAsia="ko-KR"/>
        </w:rPr>
        <w:t xml:space="preserve">  </w:t>
      </w:r>
    </w:p>
    <w:p w14:paraId="75D423CB" w14:textId="77777777" w:rsidR="00945343" w:rsidRPr="000A2C22" w:rsidRDefault="00945343" w:rsidP="006858B7">
      <w:pPr>
        <w:spacing w:after="0" w:line="360" w:lineRule="auto"/>
        <w:jc w:val="both"/>
        <w:rPr>
          <w:rFonts w:eastAsia="宋体"/>
          <w:lang w:eastAsia="zh-CN"/>
        </w:rPr>
      </w:pPr>
    </w:p>
    <w:p w14:paraId="666E0BB8" w14:textId="779910B3" w:rsidR="00945343" w:rsidRPr="006E0892" w:rsidRDefault="00945343" w:rsidP="006858B7">
      <w:pPr>
        <w:pStyle w:val="Caption"/>
        <w:spacing w:before="0" w:after="0" w:line="360" w:lineRule="auto"/>
        <w:jc w:val="both"/>
        <w:rPr>
          <w:i/>
        </w:rPr>
      </w:pPr>
      <w:r w:rsidRPr="006E0892">
        <w:rPr>
          <w:i/>
        </w:rPr>
        <w:t>Observation</w:t>
      </w:r>
      <w:r w:rsidR="006F3143" w:rsidRPr="006E0892">
        <w:rPr>
          <w:i/>
        </w:rPr>
        <w:t xml:space="preserve"> 3</w:t>
      </w:r>
      <w:r w:rsidR="006858B7">
        <w:rPr>
          <w:i/>
        </w:rPr>
        <w:t>:</w:t>
      </w:r>
      <w:r w:rsidRPr="006E0892">
        <w:rPr>
          <w:i/>
        </w:rPr>
        <w:t xml:space="preserve"> </w:t>
      </w:r>
      <w:r w:rsidR="006F3143">
        <w:rPr>
          <w:b w:val="0"/>
          <w:i/>
        </w:rPr>
        <w:t>A UE interprets the HARQ-ACK timing indicator field according to the SCS of the active UL BWP on the primary cell</w:t>
      </w:r>
      <w:r w:rsidRPr="006E0892">
        <w:rPr>
          <w:rFonts w:eastAsiaTheme="minorEastAsia"/>
          <w:b w:val="0"/>
          <w:i/>
          <w:lang w:eastAsia="ko-KR"/>
        </w:rPr>
        <w:t>.</w:t>
      </w:r>
    </w:p>
    <w:p w14:paraId="79F39872" w14:textId="77777777" w:rsidR="00ED6CD1" w:rsidRPr="00945343" w:rsidRDefault="00ED6CD1" w:rsidP="00ED6CD1">
      <w:pPr>
        <w:rPr>
          <w:lang w:val="en-GB" w:eastAsia="ja-JP"/>
        </w:rPr>
      </w:pPr>
    </w:p>
    <w:p w14:paraId="112C40A8" w14:textId="77777777" w:rsidR="00ED6CD1" w:rsidRPr="00EF2FCE" w:rsidRDefault="00ED6CD1" w:rsidP="00ED6CD1">
      <w:pPr>
        <w:pStyle w:val="Heading2"/>
        <w:spacing w:before="120" w:after="120"/>
        <w:rPr>
          <w:szCs w:val="36"/>
          <w:lang w:val="en-US"/>
        </w:rPr>
      </w:pPr>
      <w:r>
        <w:rPr>
          <w:lang w:eastAsia="ja-JP"/>
        </w:rPr>
        <w:t xml:space="preserve">Power control of PUCCH </w:t>
      </w:r>
      <w:r w:rsidR="00F646C6">
        <w:rPr>
          <w:lang w:eastAsia="ja-JP"/>
        </w:rPr>
        <w:t>for</w:t>
      </w:r>
      <w:r>
        <w:rPr>
          <w:lang w:eastAsia="ja-JP"/>
        </w:rPr>
        <w:t xml:space="preserve"> </w:t>
      </w:r>
      <w:r w:rsidR="00F646C6">
        <w:rPr>
          <w:lang w:eastAsia="ja-JP"/>
        </w:rPr>
        <w:t xml:space="preserve">MBS </w:t>
      </w:r>
      <w:r>
        <w:rPr>
          <w:lang w:eastAsia="ja-JP"/>
        </w:rPr>
        <w:t>HARQ-ACK</w:t>
      </w:r>
    </w:p>
    <w:p w14:paraId="04BC16B5" w14:textId="38C2644D" w:rsidR="00705E0E" w:rsidRDefault="00705E0E" w:rsidP="006858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Theme="minorEastAsia"/>
          <w:lang w:eastAsia="ko-KR"/>
        </w:rPr>
      </w:pPr>
      <w:r>
        <w:rPr>
          <w:rFonts w:eastAsiaTheme="minorEastAsia"/>
          <w:lang w:eastAsia="ko-KR"/>
        </w:rPr>
        <w:t xml:space="preserve">The DCI format scheduling an MBS PDSCH is a UE group-common DCI format and is not reasonable/feasible to include a TPC command for each UE configured to report HARQ-ACK information (or optimize/differentiate for the case than only few UEs provide HARQ-ACK information). Therefore, similar to DCI format 3_0 scheduling PDSCH receptions for </w:t>
      </w:r>
      <w:proofErr w:type="spellStart"/>
      <w:r>
        <w:rPr>
          <w:rFonts w:eastAsiaTheme="minorEastAsia"/>
          <w:lang w:eastAsia="ko-KR"/>
        </w:rPr>
        <w:t>sidelink</w:t>
      </w:r>
      <w:proofErr w:type="spellEnd"/>
      <w:r>
        <w:rPr>
          <w:rFonts w:eastAsiaTheme="minorEastAsia"/>
          <w:lang w:eastAsia="ko-KR"/>
        </w:rPr>
        <w:t>, a GC-DCI format scheduling an MBS PDSCH reception does not include a TPC command. Then, for a UE that also has unicast traffic, there is no update to the closed-loop power control (CLPC) adjustment state for PUCCH power control due from a GC-DCI format scheduling MBS PDSCH while for a UE without unicast traffic there is no CLPC.</w:t>
      </w:r>
    </w:p>
    <w:p w14:paraId="69B92E97" w14:textId="0B84E7C5" w:rsidR="000A2C22" w:rsidRDefault="00705E0E" w:rsidP="00705E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heme="minorEastAsia"/>
          <w:lang w:eastAsia="ko-KR"/>
        </w:rPr>
      </w:pPr>
      <w:r>
        <w:rPr>
          <w:rFonts w:eastAsiaTheme="minorEastAsia"/>
          <w:lang w:eastAsia="ko-KR"/>
        </w:rPr>
        <w:t xml:space="preserve">  </w:t>
      </w:r>
    </w:p>
    <w:p w14:paraId="003D5497" w14:textId="06899E8D" w:rsidR="000A2C22" w:rsidRPr="000A2C22" w:rsidRDefault="000A2C22" w:rsidP="00705E0E">
      <w:pPr>
        <w:pStyle w:val="Caption"/>
        <w:spacing w:before="0" w:after="0" w:line="360" w:lineRule="auto"/>
        <w:jc w:val="both"/>
        <w:rPr>
          <w:rFonts w:eastAsiaTheme="minorEastAsia"/>
          <w:lang w:eastAsia="ko-KR"/>
        </w:rPr>
      </w:pPr>
      <w:r>
        <w:t xml:space="preserve">Proposal </w:t>
      </w:r>
      <w:r w:rsidR="00945343">
        <w:t>4</w:t>
      </w:r>
      <w:r w:rsidR="006858B7">
        <w:t>:</w:t>
      </w:r>
      <w:r>
        <w:t xml:space="preserve"> </w:t>
      </w:r>
      <w:r w:rsidR="00705E0E">
        <w:t>The</w:t>
      </w:r>
      <w:r>
        <w:t xml:space="preserve"> DCI </w:t>
      </w:r>
      <w:r w:rsidR="00705E0E">
        <w:t xml:space="preserve">format </w:t>
      </w:r>
      <w:r>
        <w:t>scheduling MBS PDSCH</w:t>
      </w:r>
      <w:r w:rsidR="00705E0E">
        <w:t xml:space="preserve"> reception does not include a TPC command field</w:t>
      </w:r>
      <w:r>
        <w:t>.</w:t>
      </w:r>
    </w:p>
    <w:p w14:paraId="74FD712D" w14:textId="77777777" w:rsidR="00705E0E" w:rsidRDefault="00705E0E" w:rsidP="00705E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heme="minorEastAsia"/>
          <w:lang w:eastAsia="ko-KR"/>
        </w:rPr>
      </w:pPr>
    </w:p>
    <w:p w14:paraId="4BE2D063" w14:textId="4E222DFE" w:rsidR="000A2C22" w:rsidRDefault="00E15D93" w:rsidP="006858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Theme="minorEastAsia"/>
          <w:lang w:eastAsia="ko-KR"/>
        </w:rPr>
      </w:pPr>
      <w:r>
        <w:rPr>
          <w:rFonts w:eastAsiaTheme="minorEastAsia"/>
          <w:lang w:eastAsia="ko-KR"/>
        </w:rPr>
        <w:t xml:space="preserve">Similar to a UE supporting both </w:t>
      </w:r>
      <w:proofErr w:type="spellStart"/>
      <w:r>
        <w:rPr>
          <w:rFonts w:eastAsiaTheme="minorEastAsia"/>
          <w:lang w:eastAsia="ko-KR"/>
        </w:rPr>
        <w:t>eMBB</w:t>
      </w:r>
      <w:proofErr w:type="spellEnd"/>
      <w:r>
        <w:rPr>
          <w:rFonts w:eastAsiaTheme="minorEastAsia"/>
          <w:lang w:eastAsia="ko-KR"/>
        </w:rPr>
        <w:t xml:space="preserve"> and URLLC services, </w:t>
      </w:r>
      <w:r w:rsidR="000A2C22">
        <w:rPr>
          <w:rFonts w:eastAsiaTheme="minorEastAsia"/>
          <w:lang w:eastAsia="ko-KR"/>
        </w:rPr>
        <w:t>t</w:t>
      </w:r>
      <w:r w:rsidR="000A2C22" w:rsidRPr="000A2C22">
        <w:rPr>
          <w:rFonts w:eastAsiaTheme="minorEastAsia"/>
          <w:lang w:eastAsia="ko-KR"/>
        </w:rPr>
        <w:t xml:space="preserve">arget reliability for MBS HARQ-ACK </w:t>
      </w:r>
      <w:r>
        <w:rPr>
          <w:rFonts w:eastAsiaTheme="minorEastAsia"/>
          <w:lang w:eastAsia="ko-KR"/>
        </w:rPr>
        <w:t>cannot be always assumed to be same as for unicast HARQ-ACK.</w:t>
      </w:r>
      <w:r w:rsidRPr="000A2C22">
        <w:rPr>
          <w:rFonts w:eastAsiaTheme="minorEastAsia"/>
          <w:lang w:eastAsia="ko-KR"/>
        </w:rPr>
        <w:t xml:space="preserve"> </w:t>
      </w:r>
      <w:r>
        <w:rPr>
          <w:rFonts w:eastAsiaTheme="minorEastAsia"/>
          <w:lang w:eastAsia="ko-KR"/>
        </w:rPr>
        <w:t>Therefore</w:t>
      </w:r>
      <w:r w:rsidR="000A2C22">
        <w:rPr>
          <w:rFonts w:eastAsiaTheme="minorEastAsia"/>
          <w:lang w:eastAsia="ko-KR"/>
        </w:rPr>
        <w:t>, the open-loop power control parameters can be configured separately for unicast HARQ-ACK transmission and MBS HARQ-ACK transmission</w:t>
      </w:r>
      <w:r w:rsidR="000A2C22" w:rsidRPr="000A2C22">
        <w:rPr>
          <w:rFonts w:eastAsiaTheme="minorEastAsia"/>
          <w:lang w:eastAsia="ko-KR"/>
        </w:rPr>
        <w:t>.</w:t>
      </w:r>
    </w:p>
    <w:p w14:paraId="3A00B017" w14:textId="77777777" w:rsidR="00E15D93" w:rsidRPr="000A2C22" w:rsidRDefault="00E15D93" w:rsidP="00705E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heme="minorEastAsia"/>
          <w:lang w:eastAsia="ko-KR"/>
        </w:rPr>
      </w:pPr>
    </w:p>
    <w:p w14:paraId="4BEA5E96" w14:textId="370FE053" w:rsidR="000A2C22" w:rsidRPr="00705E0E" w:rsidRDefault="000A2C22" w:rsidP="00705E0E">
      <w:pPr>
        <w:pStyle w:val="Caption"/>
        <w:spacing w:before="0" w:after="0" w:line="360" w:lineRule="auto"/>
        <w:jc w:val="both"/>
      </w:pPr>
      <w:r>
        <w:t xml:space="preserve">Proposal </w:t>
      </w:r>
      <w:r w:rsidR="00945343">
        <w:t>5</w:t>
      </w:r>
      <w:r w:rsidR="006858B7">
        <w:t>:</w:t>
      </w:r>
      <w:r>
        <w:t xml:space="preserve"> </w:t>
      </w:r>
      <w:r w:rsidR="00E15D93">
        <w:t xml:space="preserve">A </w:t>
      </w:r>
      <w:proofErr w:type="spellStart"/>
      <w:r w:rsidR="00E15D93">
        <w:t>g</w:t>
      </w:r>
      <w:r w:rsidR="000D4BF3">
        <w:t>NB</w:t>
      </w:r>
      <w:proofErr w:type="spellEnd"/>
      <w:r w:rsidR="00E15D93">
        <w:t xml:space="preserve"> </w:t>
      </w:r>
      <w:r w:rsidR="008243E0">
        <w:t xml:space="preserve">can provide separate </w:t>
      </w:r>
      <w:r w:rsidR="00E15D93">
        <w:t>configur</w:t>
      </w:r>
      <w:r w:rsidR="008243E0">
        <w:t>ations of</w:t>
      </w:r>
      <w:r w:rsidR="00E15D93">
        <w:t xml:space="preserve"> o</w:t>
      </w:r>
      <w:r>
        <w:t>pen-loop power control parameters for</w:t>
      </w:r>
      <w:r w:rsidR="00E15D93">
        <w:t xml:space="preserve"> PUCCH transmission with</w:t>
      </w:r>
      <w:r>
        <w:t xml:space="preserve"> unicast HARQ-ACK and </w:t>
      </w:r>
      <w:r w:rsidR="00E15D93">
        <w:t xml:space="preserve">for PUCCH transmission with </w:t>
      </w:r>
      <w:r>
        <w:t>MBS HARQ-ACK.</w:t>
      </w:r>
    </w:p>
    <w:p w14:paraId="793B8EEF" w14:textId="77777777" w:rsidR="00A41F8F" w:rsidRDefault="00A41F8F" w:rsidP="00B61F65">
      <w:pPr>
        <w:pBdr>
          <w:bottom w:val="single" w:sz="6" w:space="1" w:color="auto"/>
        </w:pBdr>
        <w:spacing w:after="0" w:line="360" w:lineRule="auto"/>
        <w:jc w:val="both"/>
        <w:rPr>
          <w:rFonts w:eastAsiaTheme="minorEastAsia"/>
          <w:lang w:eastAsia="ko-KR"/>
        </w:rPr>
      </w:pPr>
    </w:p>
    <w:p w14:paraId="7CE75CFC" w14:textId="2FF18B8F" w:rsidR="006B7D3B" w:rsidRPr="00BF18A8" w:rsidRDefault="006858B7" w:rsidP="00BC222F">
      <w:pPr>
        <w:pStyle w:val="Heading1"/>
        <w:spacing w:before="0" w:after="0" w:line="360" w:lineRule="auto"/>
        <w:rPr>
          <w:lang w:val="en-US" w:eastAsia="ko-KR"/>
        </w:rPr>
      </w:pPr>
      <w:r>
        <w:rPr>
          <w:lang w:val="en-US" w:eastAsia="ko-KR"/>
        </w:rPr>
        <w:t>Conclusion</w:t>
      </w:r>
    </w:p>
    <w:p w14:paraId="52E71A9E" w14:textId="77777777" w:rsidR="006B7D3B" w:rsidRDefault="00BC222F" w:rsidP="006858B7">
      <w:pPr>
        <w:spacing w:after="0" w:line="360" w:lineRule="auto"/>
        <w:jc w:val="both"/>
        <w:rPr>
          <w:kern w:val="2"/>
          <w:lang w:eastAsia="zh-CN"/>
        </w:rPr>
      </w:pPr>
      <w:r w:rsidRPr="00333113">
        <w:rPr>
          <w:kern w:val="2"/>
          <w:lang w:eastAsia="zh-CN"/>
        </w:rPr>
        <w:t xml:space="preserve">This contribution considered </w:t>
      </w:r>
      <w:r w:rsidR="00E63C1B">
        <w:rPr>
          <w:kern w:val="2"/>
          <w:lang w:eastAsia="zh-CN"/>
        </w:rPr>
        <w:t>improvement of reliability</w:t>
      </w:r>
      <w:r>
        <w:rPr>
          <w:kern w:val="2"/>
          <w:lang w:eastAsia="zh-CN"/>
        </w:rPr>
        <w:t xml:space="preserve"> to support multicast transmission in NR and provided the following proposals.</w:t>
      </w:r>
    </w:p>
    <w:p w14:paraId="7005524D" w14:textId="77777777" w:rsidR="00945343" w:rsidRPr="0004320D" w:rsidRDefault="00945343" w:rsidP="006858B7">
      <w:pPr>
        <w:spacing w:after="0" w:line="360" w:lineRule="auto"/>
        <w:jc w:val="both"/>
        <w:rPr>
          <w:b/>
          <w:bCs/>
          <w:lang w:eastAsia="ko-KR"/>
        </w:rPr>
      </w:pPr>
      <w:r w:rsidRPr="0004320D">
        <w:rPr>
          <w:b/>
          <w:bCs/>
          <w:lang w:eastAsia="ko-KR"/>
        </w:rPr>
        <w:t>Proposal 1: HARQ-ACK feedback for MBS PDSCH receptions is as for unicast PDSCH receptions. FFS for NACK-only HARQ-ACK feedback.</w:t>
      </w:r>
    </w:p>
    <w:p w14:paraId="31DFECA2" w14:textId="38CC48A4" w:rsidR="00945343" w:rsidRPr="00B838F7" w:rsidRDefault="00945343" w:rsidP="006858B7">
      <w:pPr>
        <w:pStyle w:val="Caption"/>
        <w:spacing w:before="0" w:after="0" w:line="360" w:lineRule="auto"/>
        <w:jc w:val="both"/>
      </w:pPr>
      <w:r>
        <w:t xml:space="preserve">Proposal </w:t>
      </w:r>
      <w:r>
        <w:fldChar w:fldCharType="begin"/>
      </w:r>
      <w:r>
        <w:instrText xml:space="preserve"> SEQ Proposal \* ARABIC </w:instrText>
      </w:r>
      <w:r>
        <w:fldChar w:fldCharType="separate"/>
      </w:r>
      <w:r>
        <w:t>2</w:t>
      </w:r>
      <w:r>
        <w:fldChar w:fldCharType="end"/>
      </w:r>
      <w:r w:rsidR="006858B7">
        <w:t>:</w:t>
      </w:r>
      <w:r>
        <w:t xml:space="preserve"> Support configuration between multiplexing and prioritization of MBS HARQ-ACK feedback and unicast UCI.</w:t>
      </w:r>
    </w:p>
    <w:p w14:paraId="6AFBA45D" w14:textId="50EB1997" w:rsidR="00945343" w:rsidRPr="00B838F7" w:rsidRDefault="00945343" w:rsidP="006858B7">
      <w:pPr>
        <w:pStyle w:val="Caption"/>
        <w:spacing w:before="0" w:after="0" w:line="360" w:lineRule="auto"/>
        <w:jc w:val="both"/>
      </w:pPr>
      <w:r>
        <w:t>Proposal 3</w:t>
      </w:r>
      <w:r w:rsidR="006858B7">
        <w:t>:</w:t>
      </w:r>
      <w:r>
        <w:t xml:space="preserve"> A </w:t>
      </w:r>
      <w:proofErr w:type="spellStart"/>
      <w:r>
        <w:t>gNB</w:t>
      </w:r>
      <w:proofErr w:type="spellEnd"/>
      <w:r>
        <w:t xml:space="preserve"> can be configured by higher layers a UE whether or not to report HARQ-ACK information for SPS PDSCH receptions. </w:t>
      </w:r>
    </w:p>
    <w:p w14:paraId="293F2DD1" w14:textId="408A649F" w:rsidR="00945343" w:rsidRPr="000A2C22" w:rsidRDefault="00945343" w:rsidP="006858B7">
      <w:pPr>
        <w:pStyle w:val="Caption"/>
        <w:spacing w:before="0" w:after="0" w:line="360" w:lineRule="auto"/>
        <w:jc w:val="both"/>
        <w:rPr>
          <w:rFonts w:eastAsiaTheme="minorEastAsia"/>
          <w:lang w:eastAsia="ko-KR"/>
        </w:rPr>
      </w:pPr>
      <w:r>
        <w:t>Proposal 4</w:t>
      </w:r>
      <w:r w:rsidR="006858B7">
        <w:t>:</w:t>
      </w:r>
      <w:r>
        <w:t xml:space="preserve"> The DCI format scheduling MBS PDSCH reception does not include a TPC command field.</w:t>
      </w:r>
    </w:p>
    <w:p w14:paraId="41478E2D" w14:textId="0602A041" w:rsidR="00945343" w:rsidRPr="00705E0E" w:rsidRDefault="00945343" w:rsidP="006858B7">
      <w:pPr>
        <w:pStyle w:val="Caption"/>
        <w:spacing w:before="0" w:after="0" w:line="360" w:lineRule="auto"/>
        <w:jc w:val="both"/>
      </w:pPr>
      <w:r>
        <w:t>Proposal 5</w:t>
      </w:r>
      <w:r w:rsidR="006858B7">
        <w:t>:</w:t>
      </w:r>
      <w:r>
        <w:t xml:space="preserve"> A </w:t>
      </w:r>
      <w:proofErr w:type="spellStart"/>
      <w:r>
        <w:t>gNB</w:t>
      </w:r>
      <w:proofErr w:type="spellEnd"/>
      <w:r>
        <w:t xml:space="preserve"> can provide separate configurations of open-loop power control parameters for PUCCH transmission with unicast HARQ-ACK and for PUCCH transmission with MBS HARQ-ACK.</w:t>
      </w:r>
    </w:p>
    <w:p w14:paraId="2813D102" w14:textId="68C30716" w:rsidR="00945343" w:rsidRDefault="00945343" w:rsidP="006858B7">
      <w:pPr>
        <w:pStyle w:val="Caption"/>
        <w:spacing w:before="0" w:after="0" w:line="360" w:lineRule="auto"/>
        <w:jc w:val="both"/>
      </w:pPr>
    </w:p>
    <w:p w14:paraId="1CF3C870" w14:textId="1235CEF4" w:rsidR="006F3143" w:rsidRPr="00470315" w:rsidRDefault="006F3143" w:rsidP="006858B7">
      <w:pPr>
        <w:jc w:val="both"/>
      </w:pPr>
      <w:r>
        <w:rPr>
          <w:lang w:val="en-GB"/>
        </w:rPr>
        <w:t>In addition, the following observations are made.</w:t>
      </w:r>
    </w:p>
    <w:p w14:paraId="5641545C" w14:textId="77777777" w:rsidR="006F3143" w:rsidRPr="00642E03" w:rsidRDefault="006F3143" w:rsidP="006858B7">
      <w:pPr>
        <w:spacing w:after="0" w:line="360" w:lineRule="auto"/>
        <w:jc w:val="both"/>
        <w:rPr>
          <w:i/>
          <w:iCs/>
          <w:u w:val="single"/>
          <w:lang w:eastAsia="ko-KR"/>
        </w:rPr>
      </w:pPr>
      <w:r w:rsidRPr="00642E03">
        <w:rPr>
          <w:b/>
          <w:bCs/>
          <w:i/>
          <w:iCs/>
          <w:u w:val="single"/>
          <w:lang w:eastAsia="ko-KR"/>
        </w:rPr>
        <w:t>Observation 1</w:t>
      </w:r>
      <w:r w:rsidRPr="00642E03">
        <w:rPr>
          <w:i/>
          <w:iCs/>
          <w:u w:val="single"/>
          <w:lang w:eastAsia="ko-KR"/>
        </w:rPr>
        <w:t xml:space="preserve">: Conventional HARQ-ACK feedback does not need to incur large </w:t>
      </w:r>
      <w:r>
        <w:rPr>
          <w:i/>
          <w:iCs/>
          <w:u w:val="single"/>
          <w:lang w:eastAsia="ko-KR"/>
        </w:rPr>
        <w:t xml:space="preserve">system </w:t>
      </w:r>
      <w:r w:rsidRPr="00642E03">
        <w:rPr>
          <w:i/>
          <w:iCs/>
          <w:u w:val="single"/>
          <w:lang w:eastAsia="ko-KR"/>
        </w:rPr>
        <w:t>overhead for MBS PDSCH.</w:t>
      </w:r>
    </w:p>
    <w:p w14:paraId="76601874" w14:textId="77777777" w:rsidR="006F3143" w:rsidRPr="00642E03" w:rsidRDefault="006F3143" w:rsidP="006858B7">
      <w:pPr>
        <w:spacing w:after="0" w:line="360" w:lineRule="auto"/>
        <w:jc w:val="both"/>
        <w:rPr>
          <w:i/>
          <w:iCs/>
          <w:u w:val="single"/>
          <w:lang w:eastAsia="ko-KR"/>
        </w:rPr>
      </w:pPr>
      <w:r w:rsidRPr="00642E03">
        <w:rPr>
          <w:b/>
          <w:bCs/>
          <w:i/>
          <w:iCs/>
          <w:u w:val="single"/>
          <w:lang w:eastAsia="ko-KR"/>
        </w:rPr>
        <w:t xml:space="preserve">Observation </w:t>
      </w:r>
      <w:r>
        <w:rPr>
          <w:b/>
          <w:bCs/>
          <w:i/>
          <w:iCs/>
          <w:u w:val="single"/>
          <w:lang w:eastAsia="ko-KR"/>
        </w:rPr>
        <w:t>2</w:t>
      </w:r>
      <w:r w:rsidRPr="00642E03">
        <w:rPr>
          <w:i/>
          <w:iCs/>
          <w:u w:val="single"/>
          <w:lang w:eastAsia="ko-KR"/>
        </w:rPr>
        <w:t xml:space="preserve">: </w:t>
      </w:r>
      <w:r>
        <w:rPr>
          <w:i/>
          <w:iCs/>
          <w:u w:val="single"/>
          <w:lang w:eastAsia="ko-KR"/>
        </w:rPr>
        <w:t>NACK-only based HARQ-ACK feedback has several important drawbacks and is typically inapplicable</w:t>
      </w:r>
      <w:r w:rsidRPr="00642E03">
        <w:rPr>
          <w:i/>
          <w:iCs/>
          <w:u w:val="single"/>
          <w:lang w:eastAsia="ko-KR"/>
        </w:rPr>
        <w:t>.</w:t>
      </w:r>
    </w:p>
    <w:p w14:paraId="3817D261" w14:textId="279E3AEA" w:rsidR="006F3143" w:rsidRPr="006858B7" w:rsidRDefault="006858B7" w:rsidP="006858B7">
      <w:pPr>
        <w:spacing w:after="0" w:line="360" w:lineRule="auto"/>
        <w:jc w:val="both"/>
        <w:rPr>
          <w:b/>
          <w:bCs/>
          <w:i/>
          <w:iCs/>
          <w:u w:val="single"/>
          <w:lang w:eastAsia="ko-KR"/>
        </w:rPr>
      </w:pPr>
      <w:r>
        <w:rPr>
          <w:b/>
          <w:bCs/>
          <w:i/>
          <w:iCs/>
          <w:u w:val="single"/>
          <w:lang w:eastAsia="ko-KR"/>
        </w:rPr>
        <w:t>Observation 3:</w:t>
      </w:r>
      <w:r w:rsidR="006F3143" w:rsidRPr="006858B7">
        <w:rPr>
          <w:b/>
          <w:bCs/>
          <w:i/>
          <w:iCs/>
          <w:u w:val="single"/>
          <w:lang w:eastAsia="ko-KR"/>
        </w:rPr>
        <w:t xml:space="preserve"> </w:t>
      </w:r>
      <w:r w:rsidR="006F3143" w:rsidRPr="006858B7">
        <w:rPr>
          <w:i/>
          <w:iCs/>
          <w:u w:val="single"/>
          <w:lang w:eastAsia="ko-KR"/>
        </w:rPr>
        <w:t>A UE interprets the HARQ-ACK timing indicator field according to the SCS of the active UL BWP on the primary cell.</w:t>
      </w:r>
      <w:bookmarkStart w:id="3" w:name="_GoBack"/>
      <w:bookmarkEnd w:id="3"/>
    </w:p>
    <w:p w14:paraId="64B8845B" w14:textId="77777777" w:rsidR="00764150" w:rsidRPr="00BF18A8" w:rsidRDefault="00764150" w:rsidP="00BC222F">
      <w:pPr>
        <w:pStyle w:val="Heading1"/>
        <w:numPr>
          <w:ilvl w:val="0"/>
          <w:numId w:val="0"/>
        </w:numPr>
        <w:spacing w:before="0" w:after="0" w:line="360" w:lineRule="auto"/>
        <w:rPr>
          <w:rFonts w:eastAsia="Batang"/>
          <w:lang w:val="en-US" w:eastAsia="ko-KR"/>
        </w:rPr>
      </w:pPr>
      <w:r w:rsidRPr="00BF18A8">
        <w:rPr>
          <w:rFonts w:eastAsia="Batang"/>
          <w:lang w:val="en-US" w:eastAsia="ko-KR"/>
        </w:rPr>
        <w:lastRenderedPageBreak/>
        <w:t>References:</w:t>
      </w:r>
    </w:p>
    <w:p w14:paraId="15BA9371" w14:textId="77777777" w:rsidR="00BC222F" w:rsidRPr="00CB2496" w:rsidRDefault="00BC222F" w:rsidP="00BC222F">
      <w:pPr>
        <w:spacing w:after="0" w:line="360" w:lineRule="auto"/>
        <w:rPr>
          <w:lang w:val="fi-FI"/>
        </w:rPr>
      </w:pPr>
      <w:bookmarkStart w:id="4" w:name="_Ref462779233"/>
      <w:r w:rsidRPr="00CB2496">
        <w:rPr>
          <w:rFonts w:hint="eastAsia"/>
          <w:lang w:val="fi-FI"/>
        </w:rPr>
        <w:t xml:space="preserve">[1] </w:t>
      </w:r>
      <w:bookmarkStart w:id="5" w:name="_Ref521501348"/>
      <w:r w:rsidR="000A2C22">
        <w:rPr>
          <w:lang w:val="fi-FI"/>
        </w:rPr>
        <w:t xml:space="preserve">RAN1 </w:t>
      </w:r>
      <w:r w:rsidR="007550CE">
        <w:rPr>
          <w:lang w:val="fi-FI"/>
        </w:rPr>
        <w:t xml:space="preserve">chairman notes </w:t>
      </w:r>
      <w:r w:rsidR="000A2C22">
        <w:rPr>
          <w:lang w:val="fi-FI"/>
        </w:rPr>
        <w:t>#102-e meeting</w:t>
      </w:r>
      <w:r w:rsidRPr="00A53E9B">
        <w:rPr>
          <w:rFonts w:eastAsia="Malgun Gothic"/>
          <w:lang w:eastAsia="ko-KR"/>
        </w:rPr>
        <w:t>,</w:t>
      </w:r>
      <w:bookmarkEnd w:id="5"/>
      <w:r w:rsidRPr="00A53E9B">
        <w:rPr>
          <w:rFonts w:eastAsia="Malgun Gothic"/>
          <w:lang w:eastAsia="ko-KR"/>
        </w:rPr>
        <w:t xml:space="preserve"> </w:t>
      </w:r>
      <w:r w:rsidR="000A2C22">
        <w:rPr>
          <w:rFonts w:eastAsia="Malgun Gothic"/>
          <w:lang w:eastAsia="ko-KR"/>
        </w:rPr>
        <w:t>August</w:t>
      </w:r>
      <w:r w:rsidRPr="00A53E9B">
        <w:rPr>
          <w:rFonts w:eastAsia="Malgun Gothic"/>
          <w:lang w:eastAsia="ko-KR"/>
        </w:rPr>
        <w:t xml:space="preserve"> </w:t>
      </w:r>
      <w:r>
        <w:rPr>
          <w:rFonts w:eastAsia="Malgun Gothic"/>
          <w:lang w:eastAsia="ko-KR"/>
        </w:rPr>
        <w:t>2020.</w:t>
      </w:r>
    </w:p>
    <w:bookmarkEnd w:id="4"/>
    <w:p w14:paraId="31B71D9C" w14:textId="77777777" w:rsidR="004C6985" w:rsidRPr="00BC222F" w:rsidRDefault="004C6985" w:rsidP="0057424D">
      <w:pPr>
        <w:spacing w:after="0" w:line="360" w:lineRule="auto"/>
        <w:rPr>
          <w:rFonts w:eastAsiaTheme="minorEastAsia"/>
          <w:lang w:val="fi-FI" w:eastAsia="ko-KR"/>
        </w:rPr>
      </w:pPr>
    </w:p>
    <w:sectPr w:rsidR="004C6985" w:rsidRPr="00BC222F"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44D56" w16cex:dateUtc="2020-10-16T21:48:00Z"/>
  <w16cex:commentExtensible w16cex:durableId="23345385" w16cex:dateUtc="2020-10-16T22: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FB7E5B" w16cid:durableId="23344D56"/>
  <w16cid:commentId w16cid:paraId="6F24F05E" w16cid:durableId="2334538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9D8745" w14:textId="77777777" w:rsidR="002017BA" w:rsidRPr="00C47AD2" w:rsidRDefault="002017BA">
      <w:pPr>
        <w:rPr>
          <w:rFonts w:ascii="Arial" w:hAnsi="Arial"/>
          <w:sz w:val="12"/>
        </w:rPr>
      </w:pPr>
      <w:r>
        <w:separator/>
      </w:r>
    </w:p>
  </w:endnote>
  <w:endnote w:type="continuationSeparator" w:id="0">
    <w:p w14:paraId="7D212D6A" w14:textId="77777777" w:rsidR="002017BA" w:rsidRPr="00C47AD2" w:rsidRDefault="002017B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Arial Unicode MS"/>
    <w:panose1 w:val="020B0600000101010101"/>
    <w:charset w:val="81"/>
    <w:family w:val="modern"/>
    <w:notTrueType/>
    <w:pitch w:val="fixed"/>
    <w:sig w:usb0="00000000" w:usb1="09060000" w:usb2="00000010" w:usb3="00000000" w:csb0="00080000" w:csb1="00000000"/>
  </w:font>
  <w:font w:name="仿宋_GB2312">
    <w:altName w:val="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82D50" w14:textId="77777777" w:rsidR="006A63BE" w:rsidRDefault="006A63BE"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FF4902" w14:textId="77777777" w:rsidR="006A63BE" w:rsidRDefault="006A63BE"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C459F" w14:textId="06929414" w:rsidR="006A63BE" w:rsidRDefault="006A63BE"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858B7">
      <w:rPr>
        <w:rStyle w:val="PageNumber"/>
      </w:rPr>
      <w:t>1</w:t>
    </w:r>
    <w:r>
      <w:rPr>
        <w:rStyle w:val="PageNumber"/>
      </w:rPr>
      <w:fldChar w:fldCharType="end"/>
    </w:r>
  </w:p>
  <w:p w14:paraId="71D79709" w14:textId="77777777" w:rsidR="006A63BE" w:rsidRDefault="006A63BE"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9E6A4" w14:textId="77777777" w:rsidR="002017BA" w:rsidRPr="00C47AD2" w:rsidRDefault="002017BA">
      <w:pPr>
        <w:rPr>
          <w:rFonts w:ascii="Arial" w:hAnsi="Arial"/>
          <w:sz w:val="12"/>
        </w:rPr>
      </w:pPr>
      <w:r>
        <w:separator/>
      </w:r>
    </w:p>
  </w:footnote>
  <w:footnote w:type="continuationSeparator" w:id="0">
    <w:p w14:paraId="4222AE62" w14:textId="77777777" w:rsidR="002017BA" w:rsidRPr="00C47AD2" w:rsidRDefault="002017BA">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31B3A" w14:textId="77777777" w:rsidR="006A63BE" w:rsidRDefault="006A63BE">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4"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CE782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9A733E2"/>
    <w:multiLevelType w:val="hybridMultilevel"/>
    <w:tmpl w:val="9C0E33FA"/>
    <w:lvl w:ilvl="0" w:tplc="1368D07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3B0C2D"/>
    <w:multiLevelType w:val="hybridMultilevel"/>
    <w:tmpl w:val="A7BA0110"/>
    <w:lvl w:ilvl="0" w:tplc="9C7CCBE0">
      <w:start w:val="7"/>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D27153"/>
    <w:multiLevelType w:val="hybridMultilevel"/>
    <w:tmpl w:val="F9805616"/>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E5847CAE">
      <w:start w:val="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6"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9"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5"/>
  </w:num>
  <w:num w:numId="5">
    <w:abstractNumId w:val="23"/>
  </w:num>
  <w:num w:numId="6">
    <w:abstractNumId w:val="35"/>
  </w:num>
  <w:num w:numId="7">
    <w:abstractNumId w:val="24"/>
  </w:num>
  <w:num w:numId="8">
    <w:abstractNumId w:val="21"/>
  </w:num>
  <w:num w:numId="9">
    <w:abstractNumId w:val="30"/>
  </w:num>
  <w:num w:numId="10">
    <w:abstractNumId w:val="5"/>
  </w:num>
  <w:num w:numId="11">
    <w:abstractNumId w:val="7"/>
  </w:num>
  <w:num w:numId="12">
    <w:abstractNumId w:val="2"/>
  </w:num>
  <w:num w:numId="13">
    <w:abstractNumId w:val="33"/>
  </w:num>
  <w:num w:numId="14">
    <w:abstractNumId w:val="25"/>
  </w:num>
  <w:num w:numId="15">
    <w:abstractNumId w:val="31"/>
  </w:num>
  <w:num w:numId="16">
    <w:abstractNumId w:val="1"/>
  </w:num>
  <w:num w:numId="17">
    <w:abstractNumId w:val="18"/>
  </w:num>
  <w:num w:numId="18">
    <w:abstractNumId w:val="19"/>
  </w:num>
  <w:num w:numId="19">
    <w:abstractNumId w:val="8"/>
  </w:num>
  <w:num w:numId="20">
    <w:abstractNumId w:val="32"/>
  </w:num>
  <w:num w:numId="21">
    <w:abstractNumId w:val="10"/>
  </w:num>
  <w:num w:numId="22">
    <w:abstractNumId w:val="26"/>
  </w:num>
  <w:num w:numId="23">
    <w:abstractNumId w:val="12"/>
  </w:num>
  <w:num w:numId="24">
    <w:abstractNumId w:val="14"/>
  </w:num>
  <w:num w:numId="25">
    <w:abstractNumId w:val="17"/>
  </w:num>
  <w:num w:numId="26">
    <w:abstractNumId w:val="27"/>
  </w:num>
  <w:num w:numId="27">
    <w:abstractNumId w:val="13"/>
  </w:num>
  <w:num w:numId="28">
    <w:abstractNumId w:val="34"/>
  </w:num>
  <w:num w:numId="29">
    <w:abstractNumId w:val="4"/>
  </w:num>
  <w:num w:numId="30">
    <w:abstractNumId w:val="29"/>
  </w:num>
  <w:num w:numId="31">
    <w:abstractNumId w:val="3"/>
  </w:num>
  <w:num w:numId="32">
    <w:abstractNumId w:val="6"/>
  </w:num>
  <w:num w:numId="33">
    <w:abstractNumId w:val="11"/>
  </w:num>
  <w:num w:numId="34">
    <w:abstractNumId w:val="22"/>
  </w:num>
  <w:num w:numId="35">
    <w:abstractNumId w:val="9"/>
  </w:num>
  <w:num w:numId="36">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474"/>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1778"/>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A4"/>
    <w:rsid w:val="00017DFB"/>
    <w:rsid w:val="00017FAB"/>
    <w:rsid w:val="00020013"/>
    <w:rsid w:val="0002004C"/>
    <w:rsid w:val="0002006F"/>
    <w:rsid w:val="00020F11"/>
    <w:rsid w:val="00020FA0"/>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20D"/>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2C22"/>
    <w:rsid w:val="000A308D"/>
    <w:rsid w:val="000A3313"/>
    <w:rsid w:val="000A38E5"/>
    <w:rsid w:val="000A39EE"/>
    <w:rsid w:val="000A40EE"/>
    <w:rsid w:val="000A435D"/>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4BF3"/>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386"/>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887"/>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67937"/>
    <w:rsid w:val="00170304"/>
    <w:rsid w:val="00170CDC"/>
    <w:rsid w:val="00170DD5"/>
    <w:rsid w:val="00170DF1"/>
    <w:rsid w:val="00170FF7"/>
    <w:rsid w:val="00171422"/>
    <w:rsid w:val="00171FFC"/>
    <w:rsid w:val="00172090"/>
    <w:rsid w:val="001720DB"/>
    <w:rsid w:val="0017268E"/>
    <w:rsid w:val="00173271"/>
    <w:rsid w:val="001732BA"/>
    <w:rsid w:val="00173BF4"/>
    <w:rsid w:val="00173DF4"/>
    <w:rsid w:val="0017461B"/>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1A9"/>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7F0"/>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FD3"/>
    <w:rsid w:val="001D4591"/>
    <w:rsid w:val="001D497B"/>
    <w:rsid w:val="001D4DC8"/>
    <w:rsid w:val="001D4E54"/>
    <w:rsid w:val="001D4E6E"/>
    <w:rsid w:val="001D557B"/>
    <w:rsid w:val="001D61F7"/>
    <w:rsid w:val="001D6380"/>
    <w:rsid w:val="001D67BE"/>
    <w:rsid w:val="001D687C"/>
    <w:rsid w:val="001D7CBA"/>
    <w:rsid w:val="001D7E69"/>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CAA"/>
    <w:rsid w:val="001E6E57"/>
    <w:rsid w:val="001E6ED9"/>
    <w:rsid w:val="001E6FF4"/>
    <w:rsid w:val="001E7189"/>
    <w:rsid w:val="001E7725"/>
    <w:rsid w:val="001E7CDB"/>
    <w:rsid w:val="001E7D1A"/>
    <w:rsid w:val="001F00BD"/>
    <w:rsid w:val="001F0115"/>
    <w:rsid w:val="001F0186"/>
    <w:rsid w:val="001F02F4"/>
    <w:rsid w:val="001F02FA"/>
    <w:rsid w:val="001F05CC"/>
    <w:rsid w:val="001F05FD"/>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7BA"/>
    <w:rsid w:val="002019BB"/>
    <w:rsid w:val="00201B5C"/>
    <w:rsid w:val="00201BEC"/>
    <w:rsid w:val="00201C01"/>
    <w:rsid w:val="00201DD3"/>
    <w:rsid w:val="00202306"/>
    <w:rsid w:val="00202441"/>
    <w:rsid w:val="002024B5"/>
    <w:rsid w:val="002026AE"/>
    <w:rsid w:val="00202FA4"/>
    <w:rsid w:val="00203280"/>
    <w:rsid w:val="00203373"/>
    <w:rsid w:val="00203656"/>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61E"/>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4C42"/>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C03"/>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306"/>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2CE3"/>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820"/>
    <w:rsid w:val="002B6C80"/>
    <w:rsid w:val="002B6D6F"/>
    <w:rsid w:val="002B70E3"/>
    <w:rsid w:val="002B7ADA"/>
    <w:rsid w:val="002C0379"/>
    <w:rsid w:val="002C0800"/>
    <w:rsid w:val="002C0D5A"/>
    <w:rsid w:val="002C1099"/>
    <w:rsid w:val="002C133A"/>
    <w:rsid w:val="002C15AE"/>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555"/>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BE"/>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3C3"/>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0C6"/>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2FB2"/>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3BA0"/>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0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52B2"/>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4E69"/>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1B"/>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4B75"/>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9E3"/>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C76"/>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315"/>
    <w:rsid w:val="00470B5C"/>
    <w:rsid w:val="00470C5E"/>
    <w:rsid w:val="004713D4"/>
    <w:rsid w:val="00471559"/>
    <w:rsid w:val="00471692"/>
    <w:rsid w:val="00471DC0"/>
    <w:rsid w:val="00471FAF"/>
    <w:rsid w:val="0047217D"/>
    <w:rsid w:val="004730BD"/>
    <w:rsid w:val="0047322C"/>
    <w:rsid w:val="00473662"/>
    <w:rsid w:val="00473718"/>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7AA"/>
    <w:rsid w:val="00484A72"/>
    <w:rsid w:val="00484BDF"/>
    <w:rsid w:val="00484FFC"/>
    <w:rsid w:val="00485115"/>
    <w:rsid w:val="004852EE"/>
    <w:rsid w:val="0048531A"/>
    <w:rsid w:val="00485B65"/>
    <w:rsid w:val="0048627E"/>
    <w:rsid w:val="0048670E"/>
    <w:rsid w:val="0048696F"/>
    <w:rsid w:val="00486A9F"/>
    <w:rsid w:val="00487063"/>
    <w:rsid w:val="0048737F"/>
    <w:rsid w:val="0048778E"/>
    <w:rsid w:val="00487EF5"/>
    <w:rsid w:val="00487EF7"/>
    <w:rsid w:val="00487FAA"/>
    <w:rsid w:val="004903AF"/>
    <w:rsid w:val="004904CD"/>
    <w:rsid w:val="00490966"/>
    <w:rsid w:val="00490E14"/>
    <w:rsid w:val="00490ED7"/>
    <w:rsid w:val="00491029"/>
    <w:rsid w:val="004913D5"/>
    <w:rsid w:val="00491624"/>
    <w:rsid w:val="004917C5"/>
    <w:rsid w:val="00491A59"/>
    <w:rsid w:val="004926D2"/>
    <w:rsid w:val="00493000"/>
    <w:rsid w:val="0049307B"/>
    <w:rsid w:val="00493950"/>
    <w:rsid w:val="00494280"/>
    <w:rsid w:val="0049441C"/>
    <w:rsid w:val="004946C7"/>
    <w:rsid w:val="004947BE"/>
    <w:rsid w:val="0049509E"/>
    <w:rsid w:val="00495161"/>
    <w:rsid w:val="0049530E"/>
    <w:rsid w:val="00495C13"/>
    <w:rsid w:val="00496251"/>
    <w:rsid w:val="00496A2E"/>
    <w:rsid w:val="00496E32"/>
    <w:rsid w:val="00497231"/>
    <w:rsid w:val="004975C0"/>
    <w:rsid w:val="0049783A"/>
    <w:rsid w:val="004979A8"/>
    <w:rsid w:val="004979B0"/>
    <w:rsid w:val="00497A5B"/>
    <w:rsid w:val="00497B23"/>
    <w:rsid w:val="00497D17"/>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DD0"/>
    <w:rsid w:val="004A4EB3"/>
    <w:rsid w:val="004A52EF"/>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279"/>
    <w:rsid w:val="004C3350"/>
    <w:rsid w:val="004C362C"/>
    <w:rsid w:val="004C3942"/>
    <w:rsid w:val="004C412D"/>
    <w:rsid w:val="004C44D8"/>
    <w:rsid w:val="004C45F0"/>
    <w:rsid w:val="004C46C7"/>
    <w:rsid w:val="004C4DEF"/>
    <w:rsid w:val="004C5094"/>
    <w:rsid w:val="004C50E2"/>
    <w:rsid w:val="004C5368"/>
    <w:rsid w:val="004C5447"/>
    <w:rsid w:val="004C54AB"/>
    <w:rsid w:val="004C6667"/>
    <w:rsid w:val="004C6868"/>
    <w:rsid w:val="004C6985"/>
    <w:rsid w:val="004C7065"/>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3C8C"/>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8D1"/>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81A"/>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7B5"/>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7F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62D"/>
    <w:rsid w:val="0054470D"/>
    <w:rsid w:val="0054471B"/>
    <w:rsid w:val="005451D0"/>
    <w:rsid w:val="005454CC"/>
    <w:rsid w:val="00545CCC"/>
    <w:rsid w:val="00546498"/>
    <w:rsid w:val="005464ED"/>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835"/>
    <w:rsid w:val="0055796A"/>
    <w:rsid w:val="00560035"/>
    <w:rsid w:val="00560082"/>
    <w:rsid w:val="005606A3"/>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1F9"/>
    <w:rsid w:val="005677FE"/>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24D"/>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4EF"/>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B65"/>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B7A71"/>
    <w:rsid w:val="005C040E"/>
    <w:rsid w:val="005C05C6"/>
    <w:rsid w:val="005C086A"/>
    <w:rsid w:val="005C08EB"/>
    <w:rsid w:val="005C0BD3"/>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495"/>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CC3"/>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E03"/>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5CA"/>
    <w:rsid w:val="00657792"/>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43A"/>
    <w:rsid w:val="006727EC"/>
    <w:rsid w:val="00672D3E"/>
    <w:rsid w:val="00672F43"/>
    <w:rsid w:val="0067399F"/>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8B7"/>
    <w:rsid w:val="00685DE6"/>
    <w:rsid w:val="00686295"/>
    <w:rsid w:val="00686675"/>
    <w:rsid w:val="00686711"/>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3BE"/>
    <w:rsid w:val="006A654F"/>
    <w:rsid w:val="006A65C7"/>
    <w:rsid w:val="006A66D0"/>
    <w:rsid w:val="006A720F"/>
    <w:rsid w:val="006A757D"/>
    <w:rsid w:val="006A7F34"/>
    <w:rsid w:val="006A7F37"/>
    <w:rsid w:val="006B023A"/>
    <w:rsid w:val="006B0384"/>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51E0"/>
    <w:rsid w:val="006C5267"/>
    <w:rsid w:val="006C5477"/>
    <w:rsid w:val="006C57A6"/>
    <w:rsid w:val="006C5B12"/>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892"/>
    <w:rsid w:val="006E0A9B"/>
    <w:rsid w:val="006E0C35"/>
    <w:rsid w:val="006E1B10"/>
    <w:rsid w:val="006E2397"/>
    <w:rsid w:val="006E3294"/>
    <w:rsid w:val="006E3325"/>
    <w:rsid w:val="006E380C"/>
    <w:rsid w:val="006E38CF"/>
    <w:rsid w:val="006E397A"/>
    <w:rsid w:val="006E3D0E"/>
    <w:rsid w:val="006E4119"/>
    <w:rsid w:val="006E4333"/>
    <w:rsid w:val="006E437D"/>
    <w:rsid w:val="006E4B64"/>
    <w:rsid w:val="006E4CD0"/>
    <w:rsid w:val="006E508A"/>
    <w:rsid w:val="006E52DA"/>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4ED"/>
    <w:rsid w:val="006F2A40"/>
    <w:rsid w:val="006F2AE0"/>
    <w:rsid w:val="006F2D26"/>
    <w:rsid w:val="006F2F86"/>
    <w:rsid w:val="006F3143"/>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E0E"/>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27DBF"/>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B6E"/>
    <w:rsid w:val="00752D87"/>
    <w:rsid w:val="007533AB"/>
    <w:rsid w:val="007535B3"/>
    <w:rsid w:val="0075374C"/>
    <w:rsid w:val="00753882"/>
    <w:rsid w:val="007543A8"/>
    <w:rsid w:val="00754A36"/>
    <w:rsid w:val="00754FC8"/>
    <w:rsid w:val="00755058"/>
    <w:rsid w:val="007550CE"/>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3DD5"/>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FC"/>
    <w:rsid w:val="007900D1"/>
    <w:rsid w:val="0079036B"/>
    <w:rsid w:val="00790536"/>
    <w:rsid w:val="00790804"/>
    <w:rsid w:val="007909C5"/>
    <w:rsid w:val="00791688"/>
    <w:rsid w:val="00791796"/>
    <w:rsid w:val="007919C4"/>
    <w:rsid w:val="00791DE3"/>
    <w:rsid w:val="007923FA"/>
    <w:rsid w:val="00792560"/>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117D"/>
    <w:rsid w:val="007C13DE"/>
    <w:rsid w:val="007C1ABE"/>
    <w:rsid w:val="007C20AC"/>
    <w:rsid w:val="007C23C9"/>
    <w:rsid w:val="007C247D"/>
    <w:rsid w:val="007C2A6F"/>
    <w:rsid w:val="007C2EA2"/>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D3"/>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3E0"/>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1F2D"/>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0"/>
    <w:rsid w:val="0086570D"/>
    <w:rsid w:val="00865944"/>
    <w:rsid w:val="00865B0C"/>
    <w:rsid w:val="00865BB7"/>
    <w:rsid w:val="00865C5B"/>
    <w:rsid w:val="00865E76"/>
    <w:rsid w:val="008660E4"/>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E50"/>
    <w:rsid w:val="008A6FC1"/>
    <w:rsid w:val="008A7499"/>
    <w:rsid w:val="008A75CB"/>
    <w:rsid w:val="008B007F"/>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3CB"/>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BA9"/>
    <w:rsid w:val="008C5D72"/>
    <w:rsid w:val="008C61B0"/>
    <w:rsid w:val="008C6B0E"/>
    <w:rsid w:val="008C6C88"/>
    <w:rsid w:val="008C7161"/>
    <w:rsid w:val="008C72BF"/>
    <w:rsid w:val="008C7564"/>
    <w:rsid w:val="008C7B10"/>
    <w:rsid w:val="008C7EBA"/>
    <w:rsid w:val="008C7F47"/>
    <w:rsid w:val="008D00A8"/>
    <w:rsid w:val="008D0330"/>
    <w:rsid w:val="008D09C9"/>
    <w:rsid w:val="008D0A4E"/>
    <w:rsid w:val="008D0CE3"/>
    <w:rsid w:val="008D0DE5"/>
    <w:rsid w:val="008D1634"/>
    <w:rsid w:val="008D17EA"/>
    <w:rsid w:val="008D1F61"/>
    <w:rsid w:val="008D1F93"/>
    <w:rsid w:val="008D283E"/>
    <w:rsid w:val="008D2C15"/>
    <w:rsid w:val="008D2CB8"/>
    <w:rsid w:val="008D2D39"/>
    <w:rsid w:val="008D2F8E"/>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7BF"/>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ADC"/>
    <w:rsid w:val="00925C74"/>
    <w:rsid w:val="00925DD5"/>
    <w:rsid w:val="0092616C"/>
    <w:rsid w:val="009262D5"/>
    <w:rsid w:val="009264E1"/>
    <w:rsid w:val="0092651B"/>
    <w:rsid w:val="00927254"/>
    <w:rsid w:val="00927BBD"/>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343"/>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08A"/>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39BD"/>
    <w:rsid w:val="009B4103"/>
    <w:rsid w:val="009B4358"/>
    <w:rsid w:val="009B4B43"/>
    <w:rsid w:val="009B4D26"/>
    <w:rsid w:val="009B4F0E"/>
    <w:rsid w:val="009B5387"/>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0EFF"/>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3F"/>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B72"/>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3A3"/>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041"/>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A24"/>
    <w:rsid w:val="00A16B93"/>
    <w:rsid w:val="00A1709F"/>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068"/>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25F"/>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1F8F"/>
    <w:rsid w:val="00A42082"/>
    <w:rsid w:val="00A4270B"/>
    <w:rsid w:val="00A42994"/>
    <w:rsid w:val="00A42A7D"/>
    <w:rsid w:val="00A42BF7"/>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57D3B"/>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85A"/>
    <w:rsid w:val="00A83935"/>
    <w:rsid w:val="00A83972"/>
    <w:rsid w:val="00A83B83"/>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807"/>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BB5"/>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4B05"/>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FF"/>
    <w:rsid w:val="00AD7E3B"/>
    <w:rsid w:val="00AD7E6A"/>
    <w:rsid w:val="00AE00FC"/>
    <w:rsid w:val="00AE022D"/>
    <w:rsid w:val="00AE025D"/>
    <w:rsid w:val="00AE02F6"/>
    <w:rsid w:val="00AE06E4"/>
    <w:rsid w:val="00AE07D8"/>
    <w:rsid w:val="00AE0A7E"/>
    <w:rsid w:val="00AE0C70"/>
    <w:rsid w:val="00AE0CEC"/>
    <w:rsid w:val="00AE0D3A"/>
    <w:rsid w:val="00AE0E1D"/>
    <w:rsid w:val="00AE10EE"/>
    <w:rsid w:val="00AE163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5BF"/>
    <w:rsid w:val="00B0003B"/>
    <w:rsid w:val="00B003C0"/>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626"/>
    <w:rsid w:val="00B07706"/>
    <w:rsid w:val="00B07743"/>
    <w:rsid w:val="00B07755"/>
    <w:rsid w:val="00B07CE5"/>
    <w:rsid w:val="00B07D7E"/>
    <w:rsid w:val="00B10037"/>
    <w:rsid w:val="00B103DA"/>
    <w:rsid w:val="00B11078"/>
    <w:rsid w:val="00B111D2"/>
    <w:rsid w:val="00B11242"/>
    <w:rsid w:val="00B11375"/>
    <w:rsid w:val="00B11567"/>
    <w:rsid w:val="00B11765"/>
    <w:rsid w:val="00B11D67"/>
    <w:rsid w:val="00B12457"/>
    <w:rsid w:val="00B125B5"/>
    <w:rsid w:val="00B12AB4"/>
    <w:rsid w:val="00B12B8B"/>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3CA"/>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3D3"/>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D27"/>
    <w:rsid w:val="00B57EF2"/>
    <w:rsid w:val="00B6020E"/>
    <w:rsid w:val="00B60751"/>
    <w:rsid w:val="00B60AB1"/>
    <w:rsid w:val="00B60C1B"/>
    <w:rsid w:val="00B6116B"/>
    <w:rsid w:val="00B61227"/>
    <w:rsid w:val="00B6157C"/>
    <w:rsid w:val="00B61A46"/>
    <w:rsid w:val="00B61F65"/>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73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8A"/>
    <w:rsid w:val="00B731B2"/>
    <w:rsid w:val="00B7375A"/>
    <w:rsid w:val="00B73DE0"/>
    <w:rsid w:val="00B74216"/>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8F7"/>
    <w:rsid w:val="00B83E47"/>
    <w:rsid w:val="00B84247"/>
    <w:rsid w:val="00B84578"/>
    <w:rsid w:val="00B84594"/>
    <w:rsid w:val="00B84DCE"/>
    <w:rsid w:val="00B851B8"/>
    <w:rsid w:val="00B851E8"/>
    <w:rsid w:val="00B85524"/>
    <w:rsid w:val="00B8564F"/>
    <w:rsid w:val="00B85F5A"/>
    <w:rsid w:val="00B862FF"/>
    <w:rsid w:val="00B875DB"/>
    <w:rsid w:val="00B87CB9"/>
    <w:rsid w:val="00B87E3E"/>
    <w:rsid w:val="00B87FFB"/>
    <w:rsid w:val="00B90038"/>
    <w:rsid w:val="00B9004C"/>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942"/>
    <w:rsid w:val="00BA7AA9"/>
    <w:rsid w:val="00BA7B8A"/>
    <w:rsid w:val="00BA7D35"/>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22F"/>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563"/>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027"/>
    <w:rsid w:val="00BE42ED"/>
    <w:rsid w:val="00BE4B3C"/>
    <w:rsid w:val="00BE4DC7"/>
    <w:rsid w:val="00BE5833"/>
    <w:rsid w:val="00BE5ED9"/>
    <w:rsid w:val="00BE5F77"/>
    <w:rsid w:val="00BE6711"/>
    <w:rsid w:val="00BE67DD"/>
    <w:rsid w:val="00BE6BA1"/>
    <w:rsid w:val="00BE6BC3"/>
    <w:rsid w:val="00BE6CA3"/>
    <w:rsid w:val="00BE78D1"/>
    <w:rsid w:val="00BE7F89"/>
    <w:rsid w:val="00BF0261"/>
    <w:rsid w:val="00BF044C"/>
    <w:rsid w:val="00BF0B36"/>
    <w:rsid w:val="00BF0B70"/>
    <w:rsid w:val="00BF0CCE"/>
    <w:rsid w:val="00BF1296"/>
    <w:rsid w:val="00BF18A8"/>
    <w:rsid w:val="00BF1B87"/>
    <w:rsid w:val="00BF1CDD"/>
    <w:rsid w:val="00BF26E0"/>
    <w:rsid w:val="00BF3144"/>
    <w:rsid w:val="00BF31A7"/>
    <w:rsid w:val="00BF32C1"/>
    <w:rsid w:val="00BF3407"/>
    <w:rsid w:val="00BF403F"/>
    <w:rsid w:val="00BF40D9"/>
    <w:rsid w:val="00BF429F"/>
    <w:rsid w:val="00BF42C2"/>
    <w:rsid w:val="00BF477B"/>
    <w:rsid w:val="00BF488D"/>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9BD"/>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9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70E"/>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77FE1"/>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CFD"/>
    <w:rsid w:val="00C87F78"/>
    <w:rsid w:val="00C90231"/>
    <w:rsid w:val="00C90537"/>
    <w:rsid w:val="00C909FA"/>
    <w:rsid w:val="00C90B16"/>
    <w:rsid w:val="00C90D1C"/>
    <w:rsid w:val="00C90E18"/>
    <w:rsid w:val="00C9100E"/>
    <w:rsid w:val="00C91389"/>
    <w:rsid w:val="00C91D40"/>
    <w:rsid w:val="00C91DB5"/>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6F0D"/>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0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35D"/>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0E5B"/>
    <w:rsid w:val="00CF1483"/>
    <w:rsid w:val="00CF1718"/>
    <w:rsid w:val="00CF174D"/>
    <w:rsid w:val="00CF206B"/>
    <w:rsid w:val="00CF20F5"/>
    <w:rsid w:val="00CF21DC"/>
    <w:rsid w:val="00CF2DC1"/>
    <w:rsid w:val="00CF3524"/>
    <w:rsid w:val="00CF3544"/>
    <w:rsid w:val="00CF3636"/>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60"/>
    <w:rsid w:val="00D83A97"/>
    <w:rsid w:val="00D83ABF"/>
    <w:rsid w:val="00D83E86"/>
    <w:rsid w:val="00D83F40"/>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50B"/>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3EC"/>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793"/>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1CB"/>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5D93"/>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026"/>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821"/>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82D"/>
    <w:rsid w:val="00E63868"/>
    <w:rsid w:val="00E63BCA"/>
    <w:rsid w:val="00E63C1B"/>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127"/>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683"/>
    <w:rsid w:val="00EA27D6"/>
    <w:rsid w:val="00EA289C"/>
    <w:rsid w:val="00EA2990"/>
    <w:rsid w:val="00EA2AB5"/>
    <w:rsid w:val="00EA2FC9"/>
    <w:rsid w:val="00EA338C"/>
    <w:rsid w:val="00EA3DFD"/>
    <w:rsid w:val="00EA42BD"/>
    <w:rsid w:val="00EA4B90"/>
    <w:rsid w:val="00EA4BD3"/>
    <w:rsid w:val="00EA4FE8"/>
    <w:rsid w:val="00EA53D8"/>
    <w:rsid w:val="00EA54E5"/>
    <w:rsid w:val="00EA5C3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694"/>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086"/>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CD1"/>
    <w:rsid w:val="00ED6E92"/>
    <w:rsid w:val="00ED6F46"/>
    <w:rsid w:val="00ED71EF"/>
    <w:rsid w:val="00ED7247"/>
    <w:rsid w:val="00ED7689"/>
    <w:rsid w:val="00ED77F6"/>
    <w:rsid w:val="00ED78A8"/>
    <w:rsid w:val="00ED7B3E"/>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4BAF"/>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4B8"/>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3AE"/>
    <w:rsid w:val="00F64480"/>
    <w:rsid w:val="00F646C6"/>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84"/>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068"/>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35A6"/>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5335"/>
    <w:rsid w:val="00FE5407"/>
    <w:rsid w:val="00FE5CE1"/>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849"/>
    <w:rsid w:val="00FF7DD1"/>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09CCA"/>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29AB"/>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宋体"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宋体"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宋体"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BF403F"/>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BF403F"/>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72577672">
      <w:bodyDiv w:val="1"/>
      <w:marLeft w:val="0"/>
      <w:marRight w:val="0"/>
      <w:marTop w:val="0"/>
      <w:marBottom w:val="0"/>
      <w:divBdr>
        <w:top w:val="none" w:sz="0" w:space="0" w:color="auto"/>
        <w:left w:val="none" w:sz="0" w:space="0" w:color="auto"/>
        <w:bottom w:val="none" w:sz="0" w:space="0" w:color="auto"/>
        <w:right w:val="none" w:sz="0" w:space="0" w:color="auto"/>
      </w:divBdr>
      <w:divsChild>
        <w:div w:id="268895356">
          <w:marLeft w:val="0"/>
          <w:marRight w:val="0"/>
          <w:marTop w:val="0"/>
          <w:marBottom w:val="0"/>
          <w:divBdr>
            <w:top w:val="none" w:sz="0" w:space="0" w:color="auto"/>
            <w:left w:val="none" w:sz="0" w:space="0" w:color="auto"/>
            <w:bottom w:val="none" w:sz="0" w:space="0" w:color="auto"/>
            <w:right w:val="none" w:sz="0" w:space="0" w:color="auto"/>
          </w:divBdr>
          <w:divsChild>
            <w:div w:id="470513629">
              <w:marLeft w:val="0"/>
              <w:marRight w:val="0"/>
              <w:marTop w:val="0"/>
              <w:marBottom w:val="0"/>
              <w:divBdr>
                <w:top w:val="none" w:sz="0" w:space="0" w:color="auto"/>
                <w:left w:val="none" w:sz="0" w:space="0" w:color="auto"/>
                <w:bottom w:val="none" w:sz="0" w:space="0" w:color="auto"/>
                <w:right w:val="none" w:sz="0" w:space="0" w:color="auto"/>
              </w:divBdr>
              <w:divsChild>
                <w:div w:id="1676422858">
                  <w:marLeft w:val="0"/>
                  <w:marRight w:val="0"/>
                  <w:marTop w:val="0"/>
                  <w:marBottom w:val="0"/>
                  <w:divBdr>
                    <w:top w:val="none" w:sz="0" w:space="0" w:color="auto"/>
                    <w:left w:val="none" w:sz="0" w:space="0" w:color="auto"/>
                    <w:bottom w:val="none" w:sz="0" w:space="0" w:color="auto"/>
                    <w:right w:val="none" w:sz="0" w:space="0" w:color="auto"/>
                  </w:divBdr>
                  <w:divsChild>
                    <w:div w:id="1883471320">
                      <w:marLeft w:val="0"/>
                      <w:marRight w:val="0"/>
                      <w:marTop w:val="0"/>
                      <w:marBottom w:val="0"/>
                      <w:divBdr>
                        <w:top w:val="none" w:sz="0" w:space="0" w:color="auto"/>
                        <w:left w:val="none" w:sz="0" w:space="0" w:color="auto"/>
                        <w:bottom w:val="none" w:sz="0" w:space="0" w:color="auto"/>
                        <w:right w:val="none" w:sz="0" w:space="0" w:color="auto"/>
                      </w:divBdr>
                      <w:divsChild>
                        <w:div w:id="246158887">
                          <w:marLeft w:val="0"/>
                          <w:marRight w:val="0"/>
                          <w:marTop w:val="0"/>
                          <w:marBottom w:val="0"/>
                          <w:divBdr>
                            <w:top w:val="none" w:sz="0" w:space="0" w:color="auto"/>
                            <w:left w:val="none" w:sz="0" w:space="0" w:color="auto"/>
                            <w:bottom w:val="none" w:sz="0" w:space="0" w:color="auto"/>
                            <w:right w:val="none" w:sz="0" w:space="0" w:color="auto"/>
                          </w:divBdr>
                          <w:divsChild>
                            <w:div w:id="290941272">
                              <w:marLeft w:val="0"/>
                              <w:marRight w:val="0"/>
                              <w:marTop w:val="0"/>
                              <w:marBottom w:val="0"/>
                              <w:divBdr>
                                <w:top w:val="none" w:sz="0" w:space="0" w:color="auto"/>
                                <w:left w:val="none" w:sz="0" w:space="0" w:color="auto"/>
                                <w:bottom w:val="none" w:sz="0" w:space="0" w:color="auto"/>
                                <w:right w:val="none" w:sz="0" w:space="0" w:color="auto"/>
                              </w:divBdr>
                              <w:divsChild>
                                <w:div w:id="53355636">
                                  <w:marLeft w:val="0"/>
                                  <w:marRight w:val="0"/>
                                  <w:marTop w:val="0"/>
                                  <w:marBottom w:val="0"/>
                                  <w:divBdr>
                                    <w:top w:val="none" w:sz="0" w:space="0" w:color="auto"/>
                                    <w:left w:val="none" w:sz="0" w:space="0" w:color="auto"/>
                                    <w:bottom w:val="none" w:sz="0" w:space="0" w:color="auto"/>
                                    <w:right w:val="none" w:sz="0" w:space="0" w:color="auto"/>
                                  </w:divBdr>
                                  <w:divsChild>
                                    <w:div w:id="2069913553">
                                      <w:marLeft w:val="0"/>
                                      <w:marRight w:val="0"/>
                                      <w:marTop w:val="0"/>
                                      <w:marBottom w:val="0"/>
                                      <w:divBdr>
                                        <w:top w:val="none" w:sz="0" w:space="0" w:color="auto"/>
                                        <w:left w:val="none" w:sz="0" w:space="0" w:color="auto"/>
                                        <w:bottom w:val="none" w:sz="0" w:space="0" w:color="auto"/>
                                        <w:right w:val="none" w:sz="0" w:space="0" w:color="auto"/>
                                      </w:divBdr>
                                      <w:divsChild>
                                        <w:div w:id="1912613370">
                                          <w:marLeft w:val="0"/>
                                          <w:marRight w:val="0"/>
                                          <w:marTop w:val="0"/>
                                          <w:marBottom w:val="0"/>
                                          <w:divBdr>
                                            <w:top w:val="none" w:sz="0" w:space="0" w:color="auto"/>
                                            <w:left w:val="none" w:sz="0" w:space="0" w:color="auto"/>
                                            <w:bottom w:val="none" w:sz="0" w:space="0" w:color="auto"/>
                                            <w:right w:val="none" w:sz="0" w:space="0" w:color="auto"/>
                                          </w:divBdr>
                                          <w:divsChild>
                                            <w:div w:id="799108704">
                                              <w:marLeft w:val="330"/>
                                              <w:marRight w:val="225"/>
                                              <w:marTop w:val="300"/>
                                              <w:marBottom w:val="450"/>
                                              <w:divBdr>
                                                <w:top w:val="none" w:sz="0" w:space="0" w:color="auto"/>
                                                <w:left w:val="none" w:sz="0" w:space="0" w:color="auto"/>
                                                <w:bottom w:val="none" w:sz="0" w:space="0" w:color="auto"/>
                                                <w:right w:val="none" w:sz="0" w:space="0" w:color="auto"/>
                                              </w:divBdr>
                                              <w:divsChild>
                                                <w:div w:id="207284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BFFFB9-A472-4021-A91B-4D5AAED4C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1247</Words>
  <Characters>7110</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 zhang/Communication Standard Research Lab /SRC-Beijing/Staff Engineer/Samsung Electronics</cp:lastModifiedBy>
  <cp:revision>3</cp:revision>
  <cp:lastPrinted>2010-03-24T01:20:00Z</cp:lastPrinted>
  <dcterms:created xsi:type="dcterms:W3CDTF">2020-10-23T05:49:00Z</dcterms:created>
  <dcterms:modified xsi:type="dcterms:W3CDTF">2020-10-23T05:58:00Z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